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CF" w:rsidRPr="009F00CF" w:rsidRDefault="009F00CF" w:rsidP="009F00CF">
      <w:pPr>
        <w:pStyle w:val="ICTOC2"/>
        <w:pBdr>
          <w:bottom w:val="single" w:sz="8" w:space="1" w:color="auto"/>
        </w:pBdr>
      </w:pPr>
      <w:r w:rsidRPr="009F00CF">
        <w:fldChar w:fldCharType="begin"/>
      </w:r>
      <w:r w:rsidRPr="009F00CF">
        <w:instrText xml:space="preserve"> DOCVARIABLE "dvItemNumberMasked" \* Charformat </w:instrText>
      </w:r>
      <w:r w:rsidRPr="009F00CF">
        <w:fldChar w:fldCharType="separate"/>
      </w:r>
      <w:r w:rsidR="00F41B08">
        <w:t>5.5</w:t>
      </w:r>
      <w:r w:rsidRPr="009F00CF">
        <w:fldChar w:fldCharType="end"/>
      </w:r>
      <w:r w:rsidRPr="009F00CF">
        <w:tab/>
      </w:r>
      <w:r w:rsidRPr="009F00CF">
        <w:fldChar w:fldCharType="begin"/>
      </w:r>
      <w:r w:rsidRPr="009F00CF">
        <w:instrText xml:space="preserve"> DOCVARIABLE "dvSubjectWithSoftReturns" \* Charformat </w:instrText>
      </w:r>
      <w:r w:rsidRPr="009F00CF">
        <w:fldChar w:fldCharType="separate"/>
      </w:r>
      <w:r w:rsidR="00F41B08">
        <w:t>Planning Proposal - North Orange Shopping Centre Expansion</w:t>
      </w:r>
      <w:r w:rsidRPr="009F00CF">
        <w:fldChar w:fldCharType="end"/>
      </w:r>
    </w:p>
    <w:p w:rsidR="009F00CF" w:rsidRPr="009F00CF" w:rsidRDefault="009F00CF" w:rsidP="009F00CF">
      <w:pPr>
        <w:tabs>
          <w:tab w:val="left" w:pos="2268"/>
        </w:tabs>
        <w:spacing w:before="0"/>
        <w:jc w:val="left"/>
        <w:rPr>
          <w:rFonts w:cs="Arial"/>
          <w:b/>
          <w:bCs/>
        </w:rPr>
      </w:pPr>
      <w:r w:rsidRPr="009F00CF">
        <w:rPr>
          <w:bCs/>
        </w:rPr>
        <w:t>TRIM REFERENCE</w:t>
      </w:r>
      <w:r w:rsidRPr="009F00CF">
        <w:rPr>
          <w:bCs/>
          <w:lang w:val="en-GB"/>
        </w:rPr>
        <w:t>:</w:t>
      </w:r>
      <w:r w:rsidRPr="009F00CF">
        <w:rPr>
          <w:bCs/>
          <w:lang w:val="en-GB"/>
        </w:rPr>
        <w:tab/>
      </w:r>
      <w:r w:rsidR="00F41B08">
        <w:fldChar w:fldCharType="begin"/>
      </w:r>
      <w:r w:rsidR="00F41B08">
        <w:instrText xml:space="preserve"> DOCVARIABLE "dvFileNumber" \* Charformat </w:instrText>
      </w:r>
      <w:r w:rsidR="00F41B08">
        <w:fldChar w:fldCharType="separate"/>
      </w:r>
      <w:r w:rsidR="00F41B08">
        <w:t>2016/1819</w:t>
      </w:r>
      <w:r w:rsidR="00F41B08">
        <w:fldChar w:fldCharType="end"/>
      </w:r>
    </w:p>
    <w:p w:rsidR="00BA1116" w:rsidRDefault="009F00CF" w:rsidP="00303E46">
      <w:pPr>
        <w:tabs>
          <w:tab w:val="left" w:pos="2268"/>
        </w:tabs>
        <w:spacing w:before="0"/>
        <w:ind w:left="2268" w:hanging="2268"/>
        <w:jc w:val="left"/>
        <w:rPr>
          <w:bCs/>
        </w:rPr>
      </w:pPr>
      <w:r w:rsidRPr="009F00CF">
        <w:rPr>
          <w:bCs/>
        </w:rPr>
        <w:t>AUTHOR:</w:t>
      </w:r>
      <w:r w:rsidRPr="009F00CF">
        <w:rPr>
          <w:bCs/>
        </w:rPr>
        <w:tab/>
      </w:r>
      <w:bookmarkStart w:id="0" w:name="Authors"/>
      <w:r w:rsidR="00C33DCE" w:rsidRPr="00C33DCE">
        <w:rPr>
          <w:bCs/>
        </w:rPr>
        <w:t>Craig Mortell, Senior Planner</w:t>
      </w:r>
      <w:r w:rsidR="00C33DCE">
        <w:rPr>
          <w:bCs/>
        </w:rPr>
        <w:t xml:space="preserve"> </w:t>
      </w:r>
      <w:bookmarkEnd w:id="0"/>
      <w:r w:rsidR="00725646">
        <w:rPr>
          <w:bCs/>
        </w:rPr>
        <w:t xml:space="preserve">    </w:t>
      </w:r>
    </w:p>
    <w:p w:rsidR="009F00CF" w:rsidRPr="00991602" w:rsidRDefault="00E63DAB" w:rsidP="009F00CF">
      <w:pPr>
        <w:tabs>
          <w:tab w:val="left" w:pos="2268"/>
        </w:tabs>
        <w:spacing w:before="0"/>
        <w:jc w:val="left"/>
        <w:rPr>
          <w:sz w:val="4"/>
          <w:lang w:val="en-GB"/>
        </w:rPr>
      </w:pPr>
      <w:bookmarkStart w:id="1" w:name="PDF_ClosedCommittee"/>
      <w:r w:rsidRPr="00991602">
        <w:rPr>
          <w:sz w:val="4"/>
          <w:lang w:val="en-GB"/>
        </w:rPr>
        <w:t xml:space="preserve"> </w:t>
      </w:r>
      <w:bookmarkEnd w:id="1"/>
    </w:p>
    <w:p w:rsidR="008D2D5D" w:rsidRPr="00285E3A" w:rsidRDefault="008D2D5D" w:rsidP="00393035">
      <w:pPr>
        <w:spacing w:before="0"/>
        <w:rPr>
          <w:sz w:val="12"/>
          <w:lang w:val="en-GB"/>
        </w:rPr>
      </w:pPr>
    </w:p>
    <w:p w:rsidR="00B34F2B" w:rsidRPr="00285E3A" w:rsidRDefault="00B34F2B" w:rsidP="00393035">
      <w:pPr>
        <w:spacing w:before="0"/>
        <w:rPr>
          <w:sz w:val="12"/>
          <w:lang w:val="en-GB"/>
        </w:rPr>
        <w:sectPr w:rsidR="00B34F2B" w:rsidRPr="00285E3A" w:rsidSect="00B950A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1440" w:bottom="567" w:left="1440" w:header="709" w:footer="709" w:gutter="0"/>
          <w:cols w:space="720"/>
          <w:titlePg/>
          <w:docGrid w:linePitch="299"/>
        </w:sectPr>
      </w:pPr>
    </w:p>
    <w:p w:rsidR="00E616C3" w:rsidRPr="00500791" w:rsidRDefault="00E616C3" w:rsidP="00E616C3">
      <w:pPr>
        <w:keepNext/>
        <w:spacing w:before="240"/>
        <w:outlineLvl w:val="2"/>
        <w:rPr>
          <w:rFonts w:asciiTheme="minorHAnsi" w:hAnsiTheme="minorHAnsi"/>
          <w:b/>
          <w:caps/>
        </w:rPr>
      </w:pPr>
      <w:r w:rsidRPr="00500791">
        <w:rPr>
          <w:rFonts w:asciiTheme="minorHAnsi" w:hAnsiTheme="minorHAnsi"/>
          <w:b/>
          <w:caps/>
        </w:rPr>
        <w:t>EXECUTIVE Summary</w:t>
      </w:r>
    </w:p>
    <w:p w:rsidR="00CD1BAB" w:rsidRDefault="00CD1BAB" w:rsidP="00BA7D0F">
      <w:pPr>
        <w:autoSpaceDE w:val="0"/>
        <w:autoSpaceDN w:val="0"/>
        <w:adjustRightInd w:val="0"/>
        <w:spacing w:before="0" w:after="120"/>
        <w:rPr>
          <w:rFonts w:asciiTheme="minorHAnsi" w:hAnsiTheme="minorHAnsi" w:cs="Calibri"/>
          <w:lang w:eastAsia="en-AU"/>
        </w:rPr>
      </w:pPr>
      <w:bookmarkStart w:id="6" w:name="OLE_LINK5"/>
      <w:bookmarkStart w:id="7" w:name="OLE_LINK6"/>
      <w:r w:rsidRPr="00500791">
        <w:rPr>
          <w:rFonts w:asciiTheme="minorHAnsi" w:hAnsiTheme="minorHAnsi" w:cs="Calibri"/>
          <w:lang w:eastAsia="en-AU"/>
        </w:rPr>
        <w:t>Council is in receipt of a planning proposal from City Plan Services, on behalf of</w:t>
      </w:r>
      <w:r w:rsidR="00F16523" w:rsidRPr="00500791">
        <w:rPr>
          <w:rFonts w:asciiTheme="minorHAnsi" w:hAnsiTheme="minorHAnsi" w:cs="Calibri"/>
          <w:lang w:eastAsia="en-AU"/>
        </w:rPr>
        <w:t xml:space="preserve"> </w:t>
      </w:r>
      <w:r w:rsidRPr="00500791">
        <w:rPr>
          <w:rFonts w:asciiTheme="minorHAnsi" w:hAnsiTheme="minorHAnsi" w:cs="Calibri"/>
          <w:lang w:eastAsia="en-AU"/>
        </w:rPr>
        <w:t>SCA Property Group, relating to Lot 700 DP 1171441, known as 9 Telopea Way.</w:t>
      </w:r>
    </w:p>
    <w:p w:rsidR="00B6054F" w:rsidRPr="00500791" w:rsidRDefault="00B6054F" w:rsidP="00BA7D0F">
      <w:pPr>
        <w:autoSpaceDE w:val="0"/>
        <w:autoSpaceDN w:val="0"/>
        <w:adjustRightInd w:val="0"/>
        <w:spacing w:before="0" w:after="120"/>
        <w:rPr>
          <w:rFonts w:asciiTheme="minorHAnsi" w:hAnsiTheme="minorHAnsi" w:cs="Calibri"/>
          <w:lang w:eastAsia="en-AU"/>
        </w:rPr>
      </w:pPr>
      <w:r>
        <w:rPr>
          <w:rFonts w:asciiTheme="minorHAnsi" w:hAnsiTheme="minorHAnsi" w:cs="Calibri"/>
          <w:noProof/>
          <w:lang w:eastAsia="en-AU"/>
        </w:rPr>
        <w:drawing>
          <wp:inline distT="0" distB="0" distL="0" distR="0">
            <wp:extent cx="5727700" cy="3810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810000"/>
                    </a:xfrm>
                    <a:prstGeom prst="rect">
                      <a:avLst/>
                    </a:prstGeom>
                    <a:noFill/>
                    <a:ln>
                      <a:noFill/>
                    </a:ln>
                  </pic:spPr>
                </pic:pic>
              </a:graphicData>
            </a:graphic>
          </wp:inline>
        </w:drawing>
      </w:r>
    </w:p>
    <w:p w:rsidR="00CD1BAB" w:rsidRPr="00500791" w:rsidRDefault="00BA7D0F" w:rsidP="00BA7D0F">
      <w:p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Currently, t</w:t>
      </w:r>
      <w:r w:rsidR="00CD1BAB" w:rsidRPr="00500791">
        <w:rPr>
          <w:rFonts w:asciiTheme="minorHAnsi" w:hAnsiTheme="minorHAnsi" w:cs="Calibri"/>
          <w:lang w:eastAsia="en-AU"/>
        </w:rPr>
        <w:t>he southern portion of 9 Telopea Way is zoned B2 Local Centre and has already been</w:t>
      </w:r>
      <w:r w:rsidR="00F16523" w:rsidRPr="00500791">
        <w:rPr>
          <w:rFonts w:asciiTheme="minorHAnsi" w:hAnsiTheme="minorHAnsi" w:cs="Calibri"/>
          <w:lang w:eastAsia="en-AU"/>
        </w:rPr>
        <w:t xml:space="preserve"> </w:t>
      </w:r>
      <w:r w:rsidR="00CD1BAB" w:rsidRPr="00500791">
        <w:rPr>
          <w:rFonts w:asciiTheme="minorHAnsi" w:hAnsiTheme="minorHAnsi" w:cs="Calibri"/>
          <w:lang w:eastAsia="en-AU"/>
        </w:rPr>
        <w:t>developed as the North Orange shopping centre, comprising a Woolworths supermarket,</w:t>
      </w:r>
      <w:r w:rsidR="00F16523" w:rsidRPr="00500791">
        <w:rPr>
          <w:rFonts w:asciiTheme="minorHAnsi" w:hAnsiTheme="minorHAnsi" w:cs="Calibri"/>
          <w:lang w:eastAsia="en-AU"/>
        </w:rPr>
        <w:t xml:space="preserve"> </w:t>
      </w:r>
      <w:r w:rsidR="00CD1BAB" w:rsidRPr="00500791">
        <w:rPr>
          <w:rFonts w:asciiTheme="minorHAnsi" w:hAnsiTheme="minorHAnsi" w:cs="Calibri"/>
          <w:lang w:eastAsia="en-AU"/>
        </w:rPr>
        <w:t>several specialty shops and the associated car parking area.</w:t>
      </w:r>
    </w:p>
    <w:p w:rsidR="00BA7D0F" w:rsidRPr="00500791" w:rsidRDefault="00CD1BAB" w:rsidP="00BA7D0F">
      <w:p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The proposal relates to the northern residual portion of the lot which is zoned R1 General</w:t>
      </w:r>
      <w:r w:rsidR="00F16523" w:rsidRPr="00500791">
        <w:rPr>
          <w:rFonts w:asciiTheme="minorHAnsi" w:hAnsiTheme="minorHAnsi" w:cs="Calibri"/>
          <w:lang w:eastAsia="en-AU"/>
        </w:rPr>
        <w:t xml:space="preserve"> </w:t>
      </w:r>
      <w:r w:rsidRPr="00500791">
        <w:rPr>
          <w:rFonts w:asciiTheme="minorHAnsi" w:hAnsiTheme="minorHAnsi" w:cs="Calibri"/>
          <w:lang w:eastAsia="en-AU"/>
        </w:rPr>
        <w:t>Residential and is currently vacant. The proposal seeks to convert the northern area to the</w:t>
      </w:r>
      <w:r w:rsidR="00F16523" w:rsidRPr="00500791">
        <w:rPr>
          <w:rFonts w:asciiTheme="minorHAnsi" w:hAnsiTheme="minorHAnsi" w:cs="Calibri"/>
          <w:lang w:eastAsia="en-AU"/>
        </w:rPr>
        <w:t xml:space="preserve"> </w:t>
      </w:r>
      <w:r w:rsidRPr="00500791">
        <w:rPr>
          <w:rFonts w:asciiTheme="minorHAnsi" w:hAnsiTheme="minorHAnsi" w:cs="Calibri"/>
          <w:lang w:eastAsia="en-AU"/>
        </w:rPr>
        <w:t>B2 Local Centre zone to enable an expansion of the existing shopping centre.</w:t>
      </w:r>
      <w:r w:rsidR="00F16523" w:rsidRPr="00500791">
        <w:rPr>
          <w:rFonts w:asciiTheme="minorHAnsi" w:hAnsiTheme="minorHAnsi" w:cs="Calibri"/>
          <w:lang w:eastAsia="en-AU"/>
        </w:rPr>
        <w:t xml:space="preserve"> </w:t>
      </w:r>
      <w:r w:rsidR="00BA7D0F" w:rsidRPr="00500791">
        <w:rPr>
          <w:rFonts w:asciiTheme="minorHAnsi" w:hAnsiTheme="minorHAnsi" w:cs="Calibri"/>
          <w:lang w:eastAsia="en-AU"/>
        </w:rPr>
        <w:t xml:space="preserve">The proposal </w:t>
      </w:r>
      <w:r w:rsidR="00AA5BBD" w:rsidRPr="00500791">
        <w:rPr>
          <w:rFonts w:asciiTheme="minorHAnsi" w:hAnsiTheme="minorHAnsi" w:cs="Calibri"/>
          <w:lang w:eastAsia="en-AU"/>
        </w:rPr>
        <w:t>originally sought to enable:</w:t>
      </w:r>
      <w:r w:rsidR="00BA7D0F" w:rsidRPr="00500791">
        <w:rPr>
          <w:rFonts w:asciiTheme="minorHAnsi" w:hAnsiTheme="minorHAnsi" w:cs="Calibri"/>
          <w:lang w:eastAsia="en-AU"/>
        </w:rPr>
        <w:t xml:space="preserve"> </w:t>
      </w:r>
    </w:p>
    <w:p w:rsidR="00BA7D0F" w:rsidRPr="00500791" w:rsidRDefault="0007714B" w:rsidP="00BA7D0F">
      <w:pPr>
        <w:pStyle w:val="ListParagraph"/>
        <w:numPr>
          <w:ilvl w:val="0"/>
          <w:numId w:val="13"/>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A new supermarket of 4,000m</w:t>
      </w:r>
      <w:r w:rsidRPr="00500791">
        <w:rPr>
          <w:rFonts w:asciiTheme="minorHAnsi" w:hAnsiTheme="minorHAnsi" w:cs="Calibri"/>
          <w:vertAlign w:val="superscript"/>
          <w:lang w:eastAsia="en-AU"/>
        </w:rPr>
        <w:t>2</w:t>
      </w:r>
      <w:r w:rsidRPr="00500791">
        <w:rPr>
          <w:rFonts w:asciiTheme="minorHAnsi" w:hAnsiTheme="minorHAnsi" w:cs="Calibri"/>
          <w:lang w:eastAsia="en-AU"/>
        </w:rPr>
        <w:t xml:space="preserve"> area</w:t>
      </w:r>
    </w:p>
    <w:p w:rsidR="00BA7D0F" w:rsidRPr="00500791" w:rsidRDefault="00BA7D0F" w:rsidP="00BA7D0F">
      <w:pPr>
        <w:pStyle w:val="ListParagraph"/>
        <w:numPr>
          <w:ilvl w:val="0"/>
          <w:numId w:val="13"/>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Expansion of the current supermarket from 3,200m</w:t>
      </w:r>
      <w:r w:rsidRPr="00500791">
        <w:rPr>
          <w:rFonts w:asciiTheme="minorHAnsi" w:hAnsiTheme="minorHAnsi" w:cs="Calibri"/>
          <w:vertAlign w:val="superscript"/>
          <w:lang w:eastAsia="en-AU"/>
        </w:rPr>
        <w:t>2</w:t>
      </w:r>
      <w:r w:rsidRPr="00500791">
        <w:rPr>
          <w:rFonts w:asciiTheme="minorHAnsi" w:hAnsiTheme="minorHAnsi" w:cs="Calibri"/>
          <w:lang w:eastAsia="en-AU"/>
        </w:rPr>
        <w:t xml:space="preserve"> to 4,000m</w:t>
      </w:r>
      <w:r w:rsidRPr="00500791">
        <w:rPr>
          <w:rFonts w:asciiTheme="minorHAnsi" w:hAnsiTheme="minorHAnsi" w:cs="Calibri"/>
          <w:vertAlign w:val="superscript"/>
          <w:lang w:eastAsia="en-AU"/>
        </w:rPr>
        <w:t>2</w:t>
      </w:r>
    </w:p>
    <w:p w:rsidR="00213D28" w:rsidRPr="00500791" w:rsidRDefault="00213D28" w:rsidP="00213D28">
      <w:pPr>
        <w:pStyle w:val="ListParagraph"/>
        <w:numPr>
          <w:ilvl w:val="0"/>
          <w:numId w:val="13"/>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A future mini-supermarket of 1,500m</w:t>
      </w:r>
      <w:r w:rsidRPr="00500791">
        <w:rPr>
          <w:rFonts w:asciiTheme="minorHAnsi" w:hAnsiTheme="minorHAnsi" w:cs="Calibri"/>
          <w:vertAlign w:val="superscript"/>
          <w:lang w:eastAsia="en-AU"/>
        </w:rPr>
        <w:t>2</w:t>
      </w:r>
      <w:r w:rsidRPr="00500791">
        <w:rPr>
          <w:rFonts w:asciiTheme="minorHAnsi" w:hAnsiTheme="minorHAnsi" w:cs="Calibri"/>
          <w:lang w:eastAsia="en-AU"/>
        </w:rPr>
        <w:t xml:space="preserve">, and </w:t>
      </w:r>
    </w:p>
    <w:p w:rsidR="00BA7D0F" w:rsidRPr="00500791" w:rsidRDefault="00BA7D0F" w:rsidP="00BA7D0F">
      <w:pPr>
        <w:pStyle w:val="ListParagraph"/>
        <w:numPr>
          <w:ilvl w:val="0"/>
          <w:numId w:val="13"/>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Creation of additional</w:t>
      </w:r>
      <w:r w:rsidR="0007714B" w:rsidRPr="00500791">
        <w:rPr>
          <w:rFonts w:asciiTheme="minorHAnsi" w:hAnsiTheme="minorHAnsi" w:cs="Calibri"/>
          <w:lang w:eastAsia="en-AU"/>
        </w:rPr>
        <w:t xml:space="preserve"> 1,400m</w:t>
      </w:r>
      <w:r w:rsidR="0007714B" w:rsidRPr="00500791">
        <w:rPr>
          <w:rFonts w:asciiTheme="minorHAnsi" w:hAnsiTheme="minorHAnsi" w:cs="Calibri"/>
          <w:vertAlign w:val="superscript"/>
          <w:lang w:eastAsia="en-AU"/>
        </w:rPr>
        <w:t>2</w:t>
      </w:r>
      <w:r w:rsidR="0007714B" w:rsidRPr="00500791">
        <w:rPr>
          <w:rFonts w:asciiTheme="minorHAnsi" w:hAnsiTheme="minorHAnsi" w:cs="Calibri"/>
          <w:lang w:eastAsia="en-AU"/>
        </w:rPr>
        <w:t xml:space="preserve"> specialty retail area</w:t>
      </w:r>
      <w:r w:rsidR="00213D28" w:rsidRPr="00500791">
        <w:rPr>
          <w:rFonts w:asciiTheme="minorHAnsi" w:hAnsiTheme="minorHAnsi" w:cs="Calibri"/>
          <w:lang w:eastAsia="en-AU"/>
        </w:rPr>
        <w:t xml:space="preserve"> (estimated as 14 – 18 outlets)</w:t>
      </w:r>
      <w:r w:rsidR="0007714B" w:rsidRPr="00500791">
        <w:rPr>
          <w:rFonts w:asciiTheme="minorHAnsi" w:hAnsiTheme="minorHAnsi" w:cs="Calibri"/>
          <w:lang w:eastAsia="en-AU"/>
        </w:rPr>
        <w:t xml:space="preserve"> </w:t>
      </w:r>
      <w:r w:rsidRPr="00500791">
        <w:rPr>
          <w:rFonts w:asciiTheme="minorHAnsi" w:hAnsiTheme="minorHAnsi" w:cs="Calibri"/>
          <w:lang w:eastAsia="en-AU"/>
        </w:rPr>
        <w:t xml:space="preserve"> </w:t>
      </w:r>
    </w:p>
    <w:p w:rsidR="00DD724E" w:rsidRDefault="0007714B" w:rsidP="0007714B">
      <w:p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When added to the current supermarket and 1,644m</w:t>
      </w:r>
      <w:r w:rsidRPr="00500791">
        <w:rPr>
          <w:rFonts w:asciiTheme="minorHAnsi" w:hAnsiTheme="minorHAnsi" w:cs="Calibri"/>
          <w:vertAlign w:val="superscript"/>
          <w:lang w:eastAsia="en-AU"/>
        </w:rPr>
        <w:t>2</w:t>
      </w:r>
      <w:r w:rsidRPr="00500791">
        <w:rPr>
          <w:rFonts w:asciiTheme="minorHAnsi" w:hAnsiTheme="minorHAnsi" w:cs="Calibri"/>
          <w:lang w:eastAsia="en-AU"/>
        </w:rPr>
        <w:t xml:space="preserve"> of specialty retail this proposal would take the site to a total of 12,544m</w:t>
      </w:r>
      <w:r w:rsidRPr="00500791">
        <w:rPr>
          <w:rFonts w:asciiTheme="minorHAnsi" w:hAnsiTheme="minorHAnsi" w:cs="Calibri"/>
          <w:vertAlign w:val="superscript"/>
          <w:lang w:eastAsia="en-AU"/>
        </w:rPr>
        <w:t>2</w:t>
      </w:r>
      <w:r w:rsidRPr="00500791">
        <w:rPr>
          <w:rFonts w:asciiTheme="minorHAnsi" w:hAnsiTheme="minorHAnsi" w:cs="Calibri"/>
          <w:lang w:eastAsia="en-AU"/>
        </w:rPr>
        <w:t xml:space="preserve"> of retail floor space. </w:t>
      </w:r>
      <w:r w:rsidR="0017517C" w:rsidRPr="00500791">
        <w:rPr>
          <w:rFonts w:asciiTheme="minorHAnsi" w:hAnsiTheme="minorHAnsi" w:cs="Calibri"/>
          <w:lang w:eastAsia="en-AU"/>
        </w:rPr>
        <w:t xml:space="preserve">The North Orange shopping centre was originally established following adoption of the </w:t>
      </w:r>
      <w:r w:rsidR="00DD724E">
        <w:rPr>
          <w:rFonts w:asciiTheme="minorHAnsi" w:hAnsiTheme="minorHAnsi" w:cs="Calibri"/>
          <w:lang w:eastAsia="en-AU"/>
        </w:rPr>
        <w:t xml:space="preserve">Council’s </w:t>
      </w:r>
      <w:r w:rsidR="0017517C" w:rsidRPr="00500791">
        <w:rPr>
          <w:rFonts w:asciiTheme="minorHAnsi" w:hAnsiTheme="minorHAnsi" w:cs="Calibri"/>
          <w:lang w:eastAsia="en-AU"/>
        </w:rPr>
        <w:t>Business Centre Review (BCR) Strateg</w:t>
      </w:r>
      <w:r w:rsidR="00DD724E">
        <w:rPr>
          <w:rFonts w:asciiTheme="minorHAnsi" w:hAnsiTheme="minorHAnsi" w:cs="Calibri"/>
          <w:lang w:eastAsia="en-AU"/>
        </w:rPr>
        <w:t xml:space="preserve">y. </w:t>
      </w:r>
    </w:p>
    <w:p w:rsidR="00B6054F" w:rsidRDefault="00DD724E" w:rsidP="0007714B">
      <w:pPr>
        <w:autoSpaceDE w:val="0"/>
        <w:autoSpaceDN w:val="0"/>
        <w:adjustRightInd w:val="0"/>
        <w:spacing w:before="0" w:after="120"/>
        <w:rPr>
          <w:rFonts w:asciiTheme="minorHAnsi" w:hAnsiTheme="minorHAnsi" w:cs="Calibri"/>
          <w:lang w:eastAsia="en-AU"/>
        </w:rPr>
      </w:pPr>
      <w:r>
        <w:rPr>
          <w:rFonts w:asciiTheme="minorHAnsi" w:hAnsiTheme="minorHAnsi" w:cs="Calibri"/>
          <w:lang w:eastAsia="en-AU"/>
        </w:rPr>
        <w:lastRenderedPageBreak/>
        <w:t xml:space="preserve">The Strategy was prepared for Council by </w:t>
      </w:r>
      <w:proofErr w:type="spellStart"/>
      <w:r w:rsidR="00B6054F">
        <w:rPr>
          <w:rFonts w:asciiTheme="minorHAnsi" w:hAnsiTheme="minorHAnsi" w:cs="Calibri"/>
          <w:lang w:eastAsia="en-AU"/>
        </w:rPr>
        <w:t>Leyshon</w:t>
      </w:r>
      <w:proofErr w:type="spellEnd"/>
      <w:r w:rsidR="00B6054F">
        <w:rPr>
          <w:rFonts w:asciiTheme="minorHAnsi" w:hAnsiTheme="minorHAnsi" w:cs="Calibri"/>
          <w:lang w:eastAsia="en-AU"/>
        </w:rPr>
        <w:t xml:space="preserve"> Consulting </w:t>
      </w:r>
      <w:r>
        <w:rPr>
          <w:rFonts w:asciiTheme="minorHAnsi" w:hAnsiTheme="minorHAnsi" w:cs="Calibri"/>
          <w:lang w:eastAsia="en-AU"/>
        </w:rPr>
        <w:t xml:space="preserve">and they are </w:t>
      </w:r>
      <w:r w:rsidR="00B6054F">
        <w:rPr>
          <w:rFonts w:asciiTheme="minorHAnsi" w:hAnsiTheme="minorHAnsi" w:cs="Calibri"/>
          <w:lang w:eastAsia="en-AU"/>
        </w:rPr>
        <w:t xml:space="preserve">a long established </w:t>
      </w:r>
      <w:r w:rsidR="0002292D">
        <w:rPr>
          <w:rFonts w:asciiTheme="minorHAnsi" w:hAnsiTheme="minorHAnsi" w:cs="Calibri"/>
          <w:lang w:eastAsia="en-AU"/>
        </w:rPr>
        <w:t xml:space="preserve">consulting firm providing economic analysis and advice to a wide range of NSW </w:t>
      </w:r>
      <w:r>
        <w:rPr>
          <w:rFonts w:asciiTheme="minorHAnsi" w:hAnsiTheme="minorHAnsi" w:cs="Calibri"/>
          <w:lang w:eastAsia="en-AU"/>
        </w:rPr>
        <w:t>c</w:t>
      </w:r>
      <w:r w:rsidR="0002292D">
        <w:rPr>
          <w:rFonts w:asciiTheme="minorHAnsi" w:hAnsiTheme="minorHAnsi" w:cs="Calibri"/>
          <w:lang w:eastAsia="en-AU"/>
        </w:rPr>
        <w:t xml:space="preserve">ouncils and other clients around Australia. Instrumental in the original Business Centre Review and all subsequent updates Director Peter </w:t>
      </w:r>
      <w:proofErr w:type="spellStart"/>
      <w:r w:rsidR="0002292D">
        <w:rPr>
          <w:rFonts w:asciiTheme="minorHAnsi" w:hAnsiTheme="minorHAnsi" w:cs="Calibri"/>
          <w:lang w:eastAsia="en-AU"/>
        </w:rPr>
        <w:t>Leyshon</w:t>
      </w:r>
      <w:proofErr w:type="spellEnd"/>
      <w:r w:rsidR="0002292D">
        <w:rPr>
          <w:rFonts w:asciiTheme="minorHAnsi" w:hAnsiTheme="minorHAnsi" w:cs="Calibri"/>
          <w:lang w:eastAsia="en-AU"/>
        </w:rPr>
        <w:t xml:space="preserve"> has a thorough and detailed understanding of the Orange commercial hierarchy, catchment or trading areas and the dynamics that contribute to Orange being a key regional trading centre.</w:t>
      </w:r>
    </w:p>
    <w:p w:rsidR="0017517C" w:rsidRPr="00500791" w:rsidRDefault="0017517C" w:rsidP="0007714B">
      <w:p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The BCR sought to define the role and scale of the out-of-CBD centre to balance the needs of North Orange residents with the broader benefit of maintaining the regional significance of the Orange CBD.</w:t>
      </w:r>
    </w:p>
    <w:p w:rsidR="0007714B" w:rsidRPr="00500791" w:rsidRDefault="00662267" w:rsidP="0007714B">
      <w:p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 xml:space="preserve">Following extensive negotiation with the proponent and </w:t>
      </w:r>
      <w:r w:rsidR="00374C15" w:rsidRPr="00500791">
        <w:rPr>
          <w:rFonts w:asciiTheme="minorHAnsi" w:hAnsiTheme="minorHAnsi" w:cs="Calibri"/>
          <w:lang w:eastAsia="en-AU"/>
        </w:rPr>
        <w:t xml:space="preserve">Council’s consultant, </w:t>
      </w:r>
      <w:r w:rsidRPr="00500791">
        <w:rPr>
          <w:rFonts w:asciiTheme="minorHAnsi" w:hAnsiTheme="minorHAnsi" w:cs="Calibri"/>
          <w:lang w:eastAsia="en-AU"/>
        </w:rPr>
        <w:t xml:space="preserve">Peter </w:t>
      </w:r>
      <w:proofErr w:type="spellStart"/>
      <w:r w:rsidRPr="00500791">
        <w:rPr>
          <w:rFonts w:asciiTheme="minorHAnsi" w:hAnsiTheme="minorHAnsi" w:cs="Calibri"/>
          <w:lang w:eastAsia="en-AU"/>
        </w:rPr>
        <w:t>Leyshon</w:t>
      </w:r>
      <w:proofErr w:type="spellEnd"/>
      <w:r w:rsidRPr="00500791">
        <w:rPr>
          <w:rFonts w:asciiTheme="minorHAnsi" w:hAnsiTheme="minorHAnsi" w:cs="Calibri"/>
          <w:lang w:eastAsia="en-AU"/>
        </w:rPr>
        <w:t xml:space="preserve">, </w:t>
      </w:r>
      <w:r w:rsidR="0017517C" w:rsidRPr="00500791">
        <w:rPr>
          <w:rFonts w:asciiTheme="minorHAnsi" w:hAnsiTheme="minorHAnsi" w:cs="Calibri"/>
          <w:lang w:eastAsia="en-AU"/>
        </w:rPr>
        <w:t>the planning proposal has been revised to now provide the following:</w:t>
      </w:r>
    </w:p>
    <w:p w:rsidR="0017517C" w:rsidRPr="00500791" w:rsidRDefault="0017517C" w:rsidP="0017517C">
      <w:pPr>
        <w:pStyle w:val="ListParagraph"/>
        <w:numPr>
          <w:ilvl w:val="0"/>
          <w:numId w:val="15"/>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Expansion of the current supermarket from 3,200m</w:t>
      </w:r>
      <w:r w:rsidRPr="00500791">
        <w:rPr>
          <w:rFonts w:asciiTheme="minorHAnsi" w:hAnsiTheme="minorHAnsi" w:cs="Calibri"/>
          <w:vertAlign w:val="superscript"/>
          <w:lang w:eastAsia="en-AU"/>
        </w:rPr>
        <w:t>2</w:t>
      </w:r>
      <w:r w:rsidRPr="00500791">
        <w:rPr>
          <w:rFonts w:asciiTheme="minorHAnsi" w:hAnsiTheme="minorHAnsi" w:cs="Calibri"/>
          <w:lang w:eastAsia="en-AU"/>
        </w:rPr>
        <w:t xml:space="preserve"> to 4,000m</w:t>
      </w:r>
      <w:r w:rsidRPr="00500791">
        <w:rPr>
          <w:rFonts w:asciiTheme="minorHAnsi" w:hAnsiTheme="minorHAnsi" w:cs="Calibri"/>
          <w:vertAlign w:val="superscript"/>
          <w:lang w:eastAsia="en-AU"/>
        </w:rPr>
        <w:t>2</w:t>
      </w:r>
    </w:p>
    <w:p w:rsidR="0017517C" w:rsidRPr="00500791" w:rsidRDefault="0017517C" w:rsidP="0017517C">
      <w:pPr>
        <w:pStyle w:val="ListParagraph"/>
        <w:numPr>
          <w:ilvl w:val="0"/>
          <w:numId w:val="15"/>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Creation of a mini-supermarket of 1,750m</w:t>
      </w:r>
      <w:r w:rsidRPr="00500791">
        <w:rPr>
          <w:rFonts w:asciiTheme="minorHAnsi" w:hAnsiTheme="minorHAnsi" w:cs="Calibri"/>
          <w:vertAlign w:val="superscript"/>
          <w:lang w:eastAsia="en-AU"/>
        </w:rPr>
        <w:t>2</w:t>
      </w:r>
      <w:r w:rsidRPr="00500791">
        <w:rPr>
          <w:rFonts w:asciiTheme="minorHAnsi" w:hAnsiTheme="minorHAnsi" w:cs="Calibri"/>
          <w:lang w:eastAsia="en-AU"/>
        </w:rPr>
        <w:t>, and</w:t>
      </w:r>
    </w:p>
    <w:p w:rsidR="0017517C" w:rsidRPr="00500791" w:rsidRDefault="0017517C" w:rsidP="0017517C">
      <w:pPr>
        <w:pStyle w:val="ListParagraph"/>
        <w:numPr>
          <w:ilvl w:val="0"/>
          <w:numId w:val="15"/>
        </w:num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Additional specialty retail area</w:t>
      </w:r>
      <w:r w:rsidR="00213D28" w:rsidRPr="00500791">
        <w:rPr>
          <w:rFonts w:asciiTheme="minorHAnsi" w:hAnsiTheme="minorHAnsi" w:cs="Calibri"/>
          <w:lang w:eastAsia="en-AU"/>
        </w:rPr>
        <w:t xml:space="preserve"> of 800m</w:t>
      </w:r>
      <w:r w:rsidR="00213D28" w:rsidRPr="00500791">
        <w:rPr>
          <w:rFonts w:asciiTheme="minorHAnsi" w:hAnsiTheme="minorHAnsi" w:cs="Calibri"/>
          <w:vertAlign w:val="superscript"/>
          <w:lang w:eastAsia="en-AU"/>
        </w:rPr>
        <w:t>2</w:t>
      </w:r>
      <w:r w:rsidR="00213D28" w:rsidRPr="00500791">
        <w:rPr>
          <w:rFonts w:asciiTheme="minorHAnsi" w:hAnsiTheme="minorHAnsi" w:cs="Calibri"/>
          <w:lang w:eastAsia="en-AU"/>
        </w:rPr>
        <w:t xml:space="preserve"> (estimated as 8 – 10 outlets).</w:t>
      </w:r>
    </w:p>
    <w:p w:rsidR="00213D28" w:rsidRPr="00500791" w:rsidRDefault="00213D28" w:rsidP="00BA7D0F">
      <w:pPr>
        <w:autoSpaceDE w:val="0"/>
        <w:autoSpaceDN w:val="0"/>
        <w:adjustRightInd w:val="0"/>
        <w:spacing w:before="0" w:after="120"/>
        <w:rPr>
          <w:rFonts w:asciiTheme="minorHAnsi" w:hAnsiTheme="minorHAnsi" w:cs="Calibri"/>
          <w:lang w:eastAsia="en-AU"/>
        </w:rPr>
      </w:pPr>
      <w:r w:rsidRPr="00500791">
        <w:rPr>
          <w:rFonts w:asciiTheme="minorHAnsi" w:hAnsiTheme="minorHAnsi" w:cs="Calibri"/>
          <w:lang w:eastAsia="en-AU"/>
        </w:rPr>
        <w:t>The change in mini-supermarket size follows further consultation with a prospective tenant to confirm their operational requirements. The reduction in specialty retail area helps to ensure the subordinate role of the North Orange centre is maintained.</w:t>
      </w:r>
      <w:r w:rsidR="002076C0" w:rsidRPr="00500791">
        <w:rPr>
          <w:rFonts w:asciiTheme="minorHAnsi" w:hAnsiTheme="minorHAnsi" w:cs="Calibri"/>
          <w:lang w:eastAsia="en-AU"/>
        </w:rPr>
        <w:t xml:space="preserve">  It must be noted that this rezoning proposal is not designed to allow a Discount Department store</w:t>
      </w:r>
      <w:r w:rsidR="00584930" w:rsidRPr="00500791">
        <w:rPr>
          <w:rFonts w:asciiTheme="minorHAnsi" w:hAnsiTheme="minorHAnsi" w:cs="Calibri"/>
          <w:lang w:eastAsia="en-AU"/>
        </w:rPr>
        <w:t xml:space="preserve"> and a commitment has been gained from the applicant in this regard.</w:t>
      </w:r>
      <w:r w:rsidR="002076C0" w:rsidRPr="00500791">
        <w:rPr>
          <w:rFonts w:asciiTheme="minorHAnsi" w:hAnsiTheme="minorHAnsi" w:cs="Calibri"/>
          <w:lang w:eastAsia="en-AU"/>
        </w:rPr>
        <w:t xml:space="preserve">  Staff will work with the Department on how this can be ensured in the final amendment wording.</w:t>
      </w:r>
      <w:r w:rsidR="00584930" w:rsidRPr="00500791">
        <w:rPr>
          <w:rFonts w:asciiTheme="minorHAnsi" w:hAnsiTheme="minorHAnsi" w:cs="Calibri"/>
          <w:lang w:eastAsia="en-AU"/>
        </w:rPr>
        <w:t xml:space="preserve">  </w:t>
      </w:r>
    </w:p>
    <w:p w:rsidR="00872395" w:rsidRPr="00500791" w:rsidRDefault="00BA7D0F" w:rsidP="00BA7D0F">
      <w:pPr>
        <w:autoSpaceDE w:val="0"/>
        <w:autoSpaceDN w:val="0"/>
        <w:adjustRightInd w:val="0"/>
        <w:spacing w:before="0" w:after="120"/>
        <w:rPr>
          <w:rFonts w:asciiTheme="minorHAnsi" w:hAnsiTheme="minorHAnsi"/>
        </w:rPr>
      </w:pPr>
      <w:r w:rsidRPr="00500791">
        <w:rPr>
          <w:rFonts w:asciiTheme="minorHAnsi" w:hAnsiTheme="minorHAnsi" w:cs="Calibri"/>
          <w:lang w:eastAsia="en-AU"/>
        </w:rPr>
        <w:t>Given the location t</w:t>
      </w:r>
      <w:r w:rsidR="00CD1BAB" w:rsidRPr="00500791">
        <w:rPr>
          <w:rFonts w:asciiTheme="minorHAnsi" w:hAnsiTheme="minorHAnsi" w:cs="Calibri"/>
          <w:lang w:eastAsia="en-AU"/>
        </w:rPr>
        <w:t xml:space="preserve">his report also has regard for the future role of land on the </w:t>
      </w:r>
      <w:r w:rsidRPr="00500791">
        <w:rPr>
          <w:rFonts w:asciiTheme="minorHAnsi" w:hAnsiTheme="minorHAnsi" w:cs="Calibri"/>
          <w:lang w:eastAsia="en-AU"/>
        </w:rPr>
        <w:t>other</w:t>
      </w:r>
      <w:r w:rsidR="00CD1BAB" w:rsidRPr="00500791">
        <w:rPr>
          <w:rFonts w:asciiTheme="minorHAnsi" w:hAnsiTheme="minorHAnsi" w:cs="Calibri"/>
          <w:lang w:eastAsia="en-AU"/>
        </w:rPr>
        <w:t xml:space="preserve"> side of Telopea Way,</w:t>
      </w:r>
      <w:r w:rsidR="00F16523" w:rsidRPr="00500791">
        <w:rPr>
          <w:rFonts w:asciiTheme="minorHAnsi" w:hAnsiTheme="minorHAnsi" w:cs="Calibri"/>
          <w:lang w:eastAsia="en-AU"/>
        </w:rPr>
        <w:t xml:space="preserve"> </w:t>
      </w:r>
      <w:r w:rsidR="00CD1BAB" w:rsidRPr="00500791">
        <w:rPr>
          <w:rFonts w:asciiTheme="minorHAnsi" w:hAnsiTheme="minorHAnsi" w:cs="Calibri"/>
          <w:lang w:eastAsia="en-AU"/>
        </w:rPr>
        <w:t>known as Lot 111 DP 1194964, which was the subject of a previous planning proposal from</w:t>
      </w:r>
      <w:r w:rsidR="00F16523" w:rsidRPr="00500791">
        <w:rPr>
          <w:rFonts w:asciiTheme="minorHAnsi" w:hAnsiTheme="minorHAnsi" w:cs="Calibri"/>
          <w:lang w:eastAsia="en-AU"/>
        </w:rPr>
        <w:t xml:space="preserve"> </w:t>
      </w:r>
      <w:r w:rsidR="00CD1BAB" w:rsidRPr="00500791">
        <w:rPr>
          <w:rFonts w:asciiTheme="minorHAnsi" w:hAnsiTheme="minorHAnsi" w:cs="Calibri"/>
          <w:lang w:eastAsia="en-AU"/>
        </w:rPr>
        <w:t xml:space="preserve">Garfield Road Holdings Pty Limited (GRH) for a service station and restaurant </w:t>
      </w:r>
      <w:r w:rsidRPr="00500791">
        <w:rPr>
          <w:rFonts w:asciiTheme="minorHAnsi" w:hAnsiTheme="minorHAnsi" w:cs="Calibri"/>
          <w:lang w:eastAsia="en-AU"/>
        </w:rPr>
        <w:t>that was rejected due to traffic congestion and interface with residential development</w:t>
      </w:r>
      <w:r w:rsidR="00CD1BAB" w:rsidRPr="00500791">
        <w:rPr>
          <w:rFonts w:asciiTheme="minorHAnsi" w:hAnsiTheme="minorHAnsi" w:cs="Calibri"/>
          <w:lang w:eastAsia="en-AU"/>
        </w:rPr>
        <w:t>.</w:t>
      </w:r>
    </w:p>
    <w:bookmarkEnd w:id="6"/>
    <w:bookmarkEnd w:id="7"/>
    <w:p w:rsidR="00F76431" w:rsidRPr="00500791" w:rsidRDefault="00F76431" w:rsidP="00F76431">
      <w:pPr>
        <w:keepNext/>
        <w:spacing w:before="240"/>
        <w:outlineLvl w:val="2"/>
        <w:rPr>
          <w:rFonts w:asciiTheme="minorHAnsi" w:hAnsiTheme="minorHAnsi"/>
          <w:b/>
          <w:caps/>
        </w:rPr>
      </w:pPr>
      <w:r w:rsidRPr="00500791">
        <w:rPr>
          <w:rFonts w:asciiTheme="minorHAnsi" w:hAnsiTheme="minorHAnsi"/>
          <w:b/>
          <w:caps/>
        </w:rPr>
        <w:t>Link To Delivery/OPerational Plan</w:t>
      </w:r>
    </w:p>
    <w:p w:rsidR="00F76431" w:rsidRPr="00500791" w:rsidRDefault="006761A4" w:rsidP="006761A4">
      <w:pPr>
        <w:rPr>
          <w:rFonts w:asciiTheme="minorHAnsi" w:hAnsiTheme="minorHAnsi"/>
        </w:rPr>
      </w:pPr>
      <w:r w:rsidRPr="00500791">
        <w:rPr>
          <w:rFonts w:asciiTheme="minorHAnsi" w:hAnsiTheme="minorHAnsi"/>
        </w:rPr>
        <w:t>The recommendation in this report relates to the Delivery/Operational Plan strategy “</w:t>
      </w:r>
      <w:r w:rsidRPr="00500791">
        <w:rPr>
          <w:rFonts w:asciiTheme="minorHAnsi" w:hAnsiTheme="minorHAnsi"/>
          <w:lang w:val="en-GB"/>
        </w:rPr>
        <w:fldChar w:fldCharType="begin"/>
      </w:r>
      <w:r w:rsidRPr="00500791">
        <w:rPr>
          <w:rFonts w:asciiTheme="minorHAnsi" w:hAnsiTheme="minorHAnsi"/>
          <w:lang w:val="en-GB"/>
        </w:rPr>
        <w:instrText xml:space="preserve"> DOCVARIABLE "dvMasterProgramItem2" \* Charformat </w:instrText>
      </w:r>
      <w:r w:rsidRPr="00500791">
        <w:rPr>
          <w:rFonts w:asciiTheme="minorHAnsi" w:hAnsiTheme="minorHAnsi"/>
          <w:lang w:val="en-GB"/>
        </w:rPr>
        <w:fldChar w:fldCharType="separate"/>
      </w:r>
      <w:r w:rsidR="00F41B08">
        <w:rPr>
          <w:rFonts w:asciiTheme="minorHAnsi" w:hAnsiTheme="minorHAnsi"/>
          <w:lang w:val="en-GB"/>
        </w:rPr>
        <w:t>1.2 Our City - Information and advice provided for the decision-making process will be succinct, reasoned, accurate, timely and balanced</w:t>
      </w:r>
      <w:r w:rsidRPr="00500791">
        <w:rPr>
          <w:rFonts w:asciiTheme="minorHAnsi" w:hAnsiTheme="minorHAnsi"/>
          <w:lang w:val="en-GB"/>
        </w:rPr>
        <w:fldChar w:fldCharType="end"/>
      </w:r>
      <w:r w:rsidRPr="00500791">
        <w:rPr>
          <w:rFonts w:asciiTheme="minorHAnsi" w:hAnsiTheme="minorHAnsi"/>
        </w:rPr>
        <w:t>”.</w:t>
      </w:r>
    </w:p>
    <w:p w:rsidR="00E616C3" w:rsidRPr="00500791" w:rsidRDefault="00E616C3" w:rsidP="00E616C3">
      <w:pPr>
        <w:keepNext/>
        <w:spacing w:before="240"/>
        <w:outlineLvl w:val="2"/>
        <w:rPr>
          <w:rFonts w:asciiTheme="minorHAnsi" w:hAnsiTheme="minorHAnsi"/>
          <w:b/>
          <w:caps/>
        </w:rPr>
      </w:pPr>
      <w:bookmarkStart w:id="8" w:name="OLE_LINK7"/>
      <w:bookmarkStart w:id="9" w:name="OLE_LINK8"/>
      <w:bookmarkStart w:id="10" w:name="OLE_LINK9"/>
      <w:bookmarkStart w:id="11" w:name="OLE_LINK10"/>
      <w:r w:rsidRPr="00500791">
        <w:rPr>
          <w:rFonts w:asciiTheme="minorHAnsi" w:hAnsiTheme="minorHAnsi"/>
          <w:b/>
          <w:caps/>
        </w:rPr>
        <w:t>Financial Implications</w:t>
      </w:r>
    </w:p>
    <w:p w:rsidR="00F144EF" w:rsidRPr="00500791" w:rsidRDefault="00F144EF" w:rsidP="00F144EF">
      <w:pPr>
        <w:rPr>
          <w:rFonts w:asciiTheme="minorHAnsi" w:hAnsiTheme="minorHAnsi"/>
        </w:rPr>
      </w:pPr>
      <w:r w:rsidRPr="00500791">
        <w:rPr>
          <w:rFonts w:asciiTheme="minorHAnsi" w:hAnsiTheme="minorHAnsi"/>
        </w:rPr>
        <w:t>Council has been advised that as a council included in the NSW Government’s merger proposals under consideration by the Office of Local Government since referral on 6 January 2016, Council must comply with the merger proposal period guidelines issued under S23A of the Local Government Act 1993.</w:t>
      </w:r>
    </w:p>
    <w:p w:rsidR="00F144EF" w:rsidRPr="00500791" w:rsidRDefault="00F144EF" w:rsidP="00F144EF">
      <w:pPr>
        <w:rPr>
          <w:rFonts w:asciiTheme="minorHAnsi" w:hAnsiTheme="minorHAnsi"/>
        </w:rPr>
      </w:pPr>
      <w:r w:rsidRPr="00500791">
        <w:rPr>
          <w:rFonts w:asciiTheme="minorHAnsi" w:hAnsiTheme="minorHAnsi"/>
        </w:rPr>
        <w:t>The guidelines instruct Council it should expend money in accordance with the detailed budget adopted for the purposes of implementing the Delivery/Operational Plan for the 2015/16 year.</w:t>
      </w:r>
    </w:p>
    <w:p w:rsidR="00F144EF" w:rsidRPr="00500791" w:rsidRDefault="00F144EF" w:rsidP="00F144EF">
      <w:pPr>
        <w:rPr>
          <w:rFonts w:asciiTheme="minorHAnsi" w:hAnsiTheme="minorHAnsi"/>
        </w:rPr>
      </w:pPr>
      <w:r w:rsidRPr="00500791">
        <w:rPr>
          <w:rFonts w:asciiTheme="minorHAnsi" w:hAnsiTheme="minorHAnsi"/>
        </w:rPr>
        <w:t>Any expenditure outside the adopted budget requires the identification of clear and compelling grounds and must be approved by Council at a meeting that is open to the public. The guidelines indicate the resolution of Council for increased expenditure must specify the reasons why the expenditure is required and warranted.</w:t>
      </w:r>
    </w:p>
    <w:p w:rsidR="00F144EF" w:rsidRPr="00500791" w:rsidRDefault="00F144EF" w:rsidP="00F144EF">
      <w:pPr>
        <w:rPr>
          <w:rFonts w:asciiTheme="minorHAnsi" w:hAnsiTheme="minorHAnsi"/>
        </w:rPr>
      </w:pPr>
      <w:r w:rsidRPr="00500791">
        <w:rPr>
          <w:rFonts w:asciiTheme="minorHAnsi" w:hAnsiTheme="minorHAnsi"/>
        </w:rPr>
        <w:lastRenderedPageBreak/>
        <w:t xml:space="preserve">If increased expenditure is greater than $250,000 or 1% of the </w:t>
      </w:r>
      <w:r w:rsidRPr="00500791">
        <w:rPr>
          <w:rFonts w:asciiTheme="minorHAnsi" w:hAnsiTheme="minorHAnsi"/>
          <w:color w:val="1F497D"/>
        </w:rPr>
        <w:t>C</w:t>
      </w:r>
      <w:r w:rsidRPr="00500791">
        <w:rPr>
          <w:rFonts w:asciiTheme="minorHAnsi" w:hAnsiTheme="minorHAnsi"/>
        </w:rPr>
        <w:t>ouncil’s revenue from rates in the preceding year, whichever is the greater,</w:t>
      </w:r>
      <w:r w:rsidRPr="00500791">
        <w:rPr>
          <w:rFonts w:asciiTheme="minorHAnsi" w:hAnsiTheme="minorHAnsi"/>
          <w:color w:val="1F497D"/>
        </w:rPr>
        <w:t xml:space="preserve"> </w:t>
      </w:r>
      <w:r w:rsidRPr="00500791">
        <w:rPr>
          <w:rFonts w:asciiTheme="minorHAnsi" w:hAnsiTheme="minorHAnsi"/>
        </w:rPr>
        <w:t xml:space="preserve">Council is required to exhibit the increase to the budget and consider comments received. </w:t>
      </w:r>
    </w:p>
    <w:p w:rsidR="00E616C3" w:rsidRPr="00500791" w:rsidRDefault="00F144EF" w:rsidP="00F144EF">
      <w:pPr>
        <w:rPr>
          <w:rFonts w:asciiTheme="minorHAnsi" w:hAnsiTheme="minorHAnsi"/>
        </w:rPr>
      </w:pPr>
      <w:r w:rsidRPr="00500791">
        <w:rPr>
          <w:rFonts w:asciiTheme="minorHAnsi" w:hAnsiTheme="minorHAnsi"/>
        </w:rPr>
        <w:t>Council must also avoid entering into contracts or undertakings w</w:t>
      </w:r>
      <w:r w:rsidR="002D7BF6" w:rsidRPr="00500791">
        <w:rPr>
          <w:rFonts w:asciiTheme="minorHAnsi" w:hAnsiTheme="minorHAnsi"/>
        </w:rPr>
        <w:t>h</w:t>
      </w:r>
      <w:r w:rsidRPr="00500791">
        <w:rPr>
          <w:rFonts w:asciiTheme="minorHAnsi" w:hAnsiTheme="minorHAnsi"/>
        </w:rPr>
        <w:t xml:space="preserve">ere expenditure or revenue is greater than $250,000 or 1% of the </w:t>
      </w:r>
      <w:r w:rsidRPr="00500791">
        <w:rPr>
          <w:rFonts w:asciiTheme="minorHAnsi" w:hAnsiTheme="minorHAnsi"/>
          <w:color w:val="1F497D"/>
        </w:rPr>
        <w:t>C</w:t>
      </w:r>
      <w:r w:rsidRPr="00500791">
        <w:rPr>
          <w:rFonts w:asciiTheme="minorHAnsi" w:hAnsiTheme="minorHAnsi"/>
        </w:rPr>
        <w:t>ouncil’s revenue from rates in the preceding year, whichever is the greater, unless the contract or undertaking is as a result of a decision or procurement process commenced prior to the merger proposal period or where entering into a contract or undertaking is reasonably necessary for the purposes of meeting the ongoing service delivery commitments of the Council or was previously approved in the Council’s Delivery/Operational Plan.</w:t>
      </w:r>
    </w:p>
    <w:bookmarkEnd w:id="8"/>
    <w:bookmarkEnd w:id="9"/>
    <w:bookmarkEnd w:id="10"/>
    <w:bookmarkEnd w:id="11"/>
    <w:p w:rsidR="00E616C3" w:rsidRPr="00500791" w:rsidRDefault="00E616C3" w:rsidP="00E616C3">
      <w:pPr>
        <w:keepNext/>
        <w:spacing w:before="240"/>
        <w:outlineLvl w:val="2"/>
        <w:rPr>
          <w:rFonts w:asciiTheme="minorHAnsi" w:hAnsiTheme="minorHAnsi"/>
          <w:b/>
          <w:caps/>
        </w:rPr>
      </w:pPr>
      <w:r w:rsidRPr="00500791">
        <w:rPr>
          <w:rFonts w:asciiTheme="minorHAnsi" w:hAnsiTheme="minorHAnsi"/>
          <w:b/>
          <w:caps/>
        </w:rPr>
        <w:t>Policy and Governance Implications</w:t>
      </w:r>
    </w:p>
    <w:p w:rsidR="00E616C3" w:rsidRPr="00500791" w:rsidRDefault="00CD1BAB" w:rsidP="00E616C3">
      <w:pPr>
        <w:rPr>
          <w:rFonts w:asciiTheme="minorHAnsi" w:hAnsiTheme="minorHAnsi"/>
        </w:rPr>
      </w:pPr>
      <w:r w:rsidRPr="00500791">
        <w:rPr>
          <w:rFonts w:asciiTheme="minorHAnsi" w:hAnsiTheme="minorHAnsi"/>
        </w:rPr>
        <w:t>Nil</w:t>
      </w:r>
    </w:p>
    <w:p w:rsidR="005A4625" w:rsidRPr="00500791" w:rsidRDefault="00393035" w:rsidP="005A4625">
      <w:pPr>
        <w:spacing w:before="0"/>
        <w:rPr>
          <w:rFonts w:asciiTheme="minorHAnsi" w:hAnsiTheme="minorHAnsi" w:cs="Arial"/>
          <w:sz w:val="16"/>
          <w:szCs w:val="16"/>
          <w:lang w:val="en-GB"/>
        </w:rPr>
      </w:pPr>
      <w:r w:rsidRPr="00500791">
        <w:rPr>
          <w:rFonts w:asciiTheme="minorHAnsi" w:hAnsiTheme="minorHAnsi" w:cs="Arial"/>
          <w:i/>
          <w:vanish/>
          <w:color w:val="FF0000"/>
          <w:sz w:val="16"/>
          <w:szCs w:val="16"/>
          <w:lang w:val="en-GB"/>
        </w:rPr>
        <w:t>Do not delete this line</w:t>
      </w:r>
    </w:p>
    <w:p w:rsidR="005A4625" w:rsidRPr="00352197" w:rsidRDefault="005A4625" w:rsidP="005A4625">
      <w:pPr>
        <w:rPr>
          <w:rFonts w:ascii="Arial" w:hAnsi="Arial" w:cs="Arial"/>
          <w:lang w:val="en-GB"/>
        </w:rPr>
        <w:sectPr w:rsidR="005A4625" w:rsidRPr="00352197" w:rsidSect="001A6479">
          <w:type w:val="continuous"/>
          <w:pgSz w:w="11907" w:h="16840" w:code="9"/>
          <w:pgMar w:top="567" w:right="1440" w:bottom="567" w:left="1440" w:header="709" w:footer="709" w:gutter="0"/>
          <w:cols w:space="720"/>
          <w:formProt w:val="0"/>
        </w:sectPr>
      </w:pPr>
    </w:p>
    <w:tbl>
      <w:tblPr>
        <w:tblW w:w="5000" w:type="pct"/>
        <w:tblLook w:val="0000" w:firstRow="0" w:lastRow="0" w:firstColumn="0" w:lastColumn="0" w:noHBand="0" w:noVBand="0"/>
      </w:tblPr>
      <w:tblGrid>
        <w:gridCol w:w="9243"/>
      </w:tblGrid>
      <w:tr w:rsidR="009858DF" w:rsidRPr="002E00C5" w:rsidTr="004B441C">
        <w:tc>
          <w:tcPr>
            <w:tcW w:w="5000" w:type="pct"/>
          </w:tcPr>
          <w:p w:rsidR="00E616C3" w:rsidRPr="00E616C3" w:rsidRDefault="00E616C3" w:rsidP="00E616C3">
            <w:pPr>
              <w:keepNext/>
              <w:spacing w:before="240"/>
              <w:outlineLvl w:val="2"/>
              <w:rPr>
                <w:b/>
                <w:caps/>
                <w:lang w:val="en-GB"/>
              </w:rPr>
            </w:pPr>
            <w:bookmarkStart w:id="12" w:name="PDF2_Recommendations_7123"/>
            <w:bookmarkStart w:id="13" w:name="Recommendations"/>
            <w:bookmarkStart w:id="14" w:name="PDF2_Recommendations"/>
            <w:bookmarkEnd w:id="12"/>
            <w:bookmarkEnd w:id="13"/>
            <w:bookmarkEnd w:id="14"/>
            <w:r w:rsidRPr="00E616C3">
              <w:rPr>
                <w:b/>
                <w:caps/>
                <w:lang w:val="en-GB"/>
              </w:rPr>
              <w:t>Recommendation</w:t>
            </w:r>
          </w:p>
          <w:p w:rsidR="00452E95" w:rsidRPr="005A7631" w:rsidRDefault="00CD1BAB" w:rsidP="00CD1BAB">
            <w:pPr>
              <w:autoSpaceDE w:val="0"/>
              <w:autoSpaceDN w:val="0"/>
              <w:adjustRightInd w:val="0"/>
              <w:spacing w:before="0"/>
              <w:ind w:left="567" w:hanging="567"/>
              <w:jc w:val="left"/>
              <w:rPr>
                <w:rFonts w:asciiTheme="minorHAnsi" w:hAnsiTheme="minorHAnsi" w:cs="Calibri,Bold"/>
                <w:b/>
                <w:bCs/>
                <w:lang w:eastAsia="en-AU"/>
              </w:rPr>
            </w:pPr>
            <w:r w:rsidRPr="005A7631">
              <w:rPr>
                <w:rFonts w:asciiTheme="minorHAnsi" w:hAnsiTheme="minorHAnsi" w:cs="Calibri,Bold"/>
                <w:b/>
                <w:bCs/>
                <w:lang w:eastAsia="en-AU"/>
              </w:rPr>
              <w:t>1</w:t>
            </w:r>
            <w:r w:rsidRPr="005A7631">
              <w:rPr>
                <w:rFonts w:asciiTheme="minorHAnsi" w:hAnsiTheme="minorHAnsi" w:cs="Calibri,Bold"/>
                <w:b/>
                <w:bCs/>
                <w:lang w:eastAsia="en-AU"/>
              </w:rPr>
              <w:tab/>
              <w:t>That Council support a Planning Proposal at 9 Telopea Way to</w:t>
            </w:r>
            <w:r w:rsidR="00452E95" w:rsidRPr="005A7631">
              <w:rPr>
                <w:rFonts w:asciiTheme="minorHAnsi" w:hAnsiTheme="minorHAnsi" w:cs="Calibri,Bold"/>
                <w:b/>
                <w:bCs/>
                <w:lang w:eastAsia="en-AU"/>
              </w:rPr>
              <w:t>:</w:t>
            </w:r>
          </w:p>
          <w:p w:rsidR="00452E95" w:rsidRPr="005A7631" w:rsidRDefault="005A7631" w:rsidP="00452E95">
            <w:pPr>
              <w:autoSpaceDE w:val="0"/>
              <w:autoSpaceDN w:val="0"/>
              <w:adjustRightInd w:val="0"/>
              <w:spacing w:before="0"/>
              <w:ind w:left="1134" w:hanging="567"/>
              <w:jc w:val="left"/>
              <w:rPr>
                <w:rFonts w:asciiTheme="minorHAnsi" w:hAnsiTheme="minorHAnsi" w:cs="Calibri,Bold"/>
                <w:b/>
                <w:bCs/>
                <w:lang w:eastAsia="en-AU"/>
              </w:rPr>
            </w:pPr>
            <w:r>
              <w:rPr>
                <w:rFonts w:asciiTheme="minorHAnsi" w:hAnsiTheme="minorHAnsi" w:cs="Calibri,Bold"/>
                <w:b/>
                <w:bCs/>
                <w:lang w:eastAsia="en-AU"/>
              </w:rPr>
              <w:t>a</w:t>
            </w:r>
            <w:r w:rsidR="00452E95" w:rsidRPr="005A7631">
              <w:rPr>
                <w:rFonts w:asciiTheme="minorHAnsi" w:hAnsiTheme="minorHAnsi" w:cs="Calibri,Bold"/>
                <w:b/>
                <w:bCs/>
                <w:lang w:eastAsia="en-AU"/>
              </w:rPr>
              <w:t>)</w:t>
            </w:r>
            <w:r w:rsidR="00452E95" w:rsidRPr="005A7631">
              <w:rPr>
                <w:rFonts w:asciiTheme="minorHAnsi" w:hAnsiTheme="minorHAnsi" w:cs="Calibri,Bold"/>
                <w:b/>
                <w:bCs/>
                <w:lang w:eastAsia="en-AU"/>
              </w:rPr>
              <w:tab/>
            </w:r>
            <w:r w:rsidR="00CD1BAB" w:rsidRPr="005A7631">
              <w:rPr>
                <w:rFonts w:asciiTheme="minorHAnsi" w:hAnsiTheme="minorHAnsi" w:cs="Calibri,Bold"/>
                <w:b/>
                <w:bCs/>
                <w:lang w:eastAsia="en-AU"/>
              </w:rPr>
              <w:t>rezone the northern portion of Lot 700 DP 1171441 to B2 Local Centre</w:t>
            </w:r>
          </w:p>
          <w:p w:rsidR="00CD1BAB" w:rsidRPr="005A7631" w:rsidRDefault="005A7631" w:rsidP="00702DFF">
            <w:pPr>
              <w:autoSpaceDE w:val="0"/>
              <w:autoSpaceDN w:val="0"/>
              <w:adjustRightInd w:val="0"/>
              <w:spacing w:before="0"/>
              <w:ind w:left="1134" w:hanging="567"/>
              <w:jc w:val="left"/>
              <w:rPr>
                <w:rFonts w:asciiTheme="minorHAnsi" w:hAnsiTheme="minorHAnsi" w:cs="Calibri,Bold"/>
                <w:b/>
                <w:bCs/>
                <w:lang w:eastAsia="en-AU"/>
              </w:rPr>
            </w:pPr>
            <w:r>
              <w:rPr>
                <w:rFonts w:asciiTheme="minorHAnsi" w:hAnsiTheme="minorHAnsi" w:cs="Calibri,Bold"/>
                <w:b/>
                <w:bCs/>
                <w:lang w:eastAsia="en-AU"/>
              </w:rPr>
              <w:t>b</w:t>
            </w:r>
            <w:r w:rsidR="00452E95" w:rsidRPr="005A7631">
              <w:rPr>
                <w:rFonts w:asciiTheme="minorHAnsi" w:hAnsiTheme="minorHAnsi" w:cs="Calibri,Bold"/>
                <w:b/>
                <w:bCs/>
                <w:lang w:eastAsia="en-AU"/>
              </w:rPr>
              <w:t>)</w:t>
            </w:r>
            <w:r w:rsidR="00452E95" w:rsidRPr="005A7631">
              <w:rPr>
                <w:rFonts w:asciiTheme="minorHAnsi" w:hAnsiTheme="minorHAnsi" w:cs="Calibri,Bold"/>
                <w:b/>
                <w:bCs/>
                <w:lang w:eastAsia="en-AU"/>
              </w:rPr>
              <w:tab/>
              <w:t xml:space="preserve">amend the Floor Space Ratio map to apply a rate of </w:t>
            </w:r>
            <w:r w:rsidR="00702DFF" w:rsidRPr="005A7631">
              <w:rPr>
                <w:rFonts w:asciiTheme="minorHAnsi" w:hAnsiTheme="minorHAnsi" w:cs="Calibri,Bold"/>
                <w:b/>
                <w:bCs/>
                <w:lang w:eastAsia="en-AU"/>
              </w:rPr>
              <w:t>0.2</w:t>
            </w:r>
            <w:r w:rsidR="00452E95" w:rsidRPr="005A7631">
              <w:rPr>
                <w:rFonts w:asciiTheme="minorHAnsi" w:hAnsiTheme="minorHAnsi" w:cs="Calibri,Bold"/>
                <w:b/>
                <w:bCs/>
                <w:lang w:eastAsia="en-AU"/>
              </w:rPr>
              <w:t xml:space="preserve">:1 across the site, enabling a total of </w:t>
            </w:r>
            <w:r w:rsidR="00702DFF" w:rsidRPr="005A7631">
              <w:rPr>
                <w:rFonts w:asciiTheme="minorHAnsi" w:hAnsiTheme="minorHAnsi" w:cs="Calibri,Bold"/>
                <w:b/>
                <w:bCs/>
                <w:lang w:eastAsia="en-AU"/>
              </w:rPr>
              <w:t>3</w:t>
            </w:r>
            <w:r w:rsidR="00DD724E">
              <w:rPr>
                <w:rFonts w:asciiTheme="minorHAnsi" w:hAnsiTheme="minorHAnsi" w:cs="Calibri,Bold"/>
                <w:b/>
                <w:bCs/>
                <w:lang w:eastAsia="en-AU"/>
              </w:rPr>
              <w:t>,</w:t>
            </w:r>
            <w:r w:rsidR="00702DFF" w:rsidRPr="005A7631">
              <w:rPr>
                <w:rFonts w:asciiTheme="minorHAnsi" w:hAnsiTheme="minorHAnsi" w:cs="Calibri,Bold"/>
                <w:b/>
                <w:bCs/>
                <w:lang w:eastAsia="en-AU"/>
              </w:rPr>
              <w:t>100</w:t>
            </w:r>
            <w:r w:rsidR="00452E95" w:rsidRPr="005A7631">
              <w:rPr>
                <w:rFonts w:asciiTheme="minorHAnsi" w:hAnsiTheme="minorHAnsi" w:cs="Calibri,Bold"/>
                <w:b/>
                <w:bCs/>
                <w:lang w:eastAsia="en-AU"/>
              </w:rPr>
              <w:t>m</w:t>
            </w:r>
            <w:r w:rsidR="00452E95" w:rsidRPr="005A7631">
              <w:rPr>
                <w:rFonts w:asciiTheme="minorHAnsi" w:hAnsiTheme="minorHAnsi" w:cs="Calibri,Bold"/>
                <w:b/>
                <w:bCs/>
                <w:vertAlign w:val="superscript"/>
                <w:lang w:eastAsia="en-AU"/>
              </w:rPr>
              <w:t>2</w:t>
            </w:r>
            <w:r w:rsidR="00452E95" w:rsidRPr="005A7631">
              <w:rPr>
                <w:rFonts w:asciiTheme="minorHAnsi" w:hAnsiTheme="minorHAnsi" w:cs="Calibri,Bold"/>
                <w:b/>
                <w:bCs/>
                <w:lang w:eastAsia="en-AU"/>
              </w:rPr>
              <w:t xml:space="preserve"> of </w:t>
            </w:r>
            <w:r w:rsidR="00702DFF" w:rsidRPr="005A7631">
              <w:rPr>
                <w:rFonts w:asciiTheme="minorHAnsi" w:hAnsiTheme="minorHAnsi" w:cs="Calibri,Bold"/>
                <w:b/>
                <w:bCs/>
                <w:lang w:eastAsia="en-AU"/>
              </w:rPr>
              <w:t xml:space="preserve">additional lettable </w:t>
            </w:r>
            <w:r w:rsidR="00452E95" w:rsidRPr="005A7631">
              <w:rPr>
                <w:rFonts w:asciiTheme="minorHAnsi" w:hAnsiTheme="minorHAnsi" w:cs="Calibri,Bold"/>
                <w:b/>
                <w:bCs/>
                <w:lang w:eastAsia="en-AU"/>
              </w:rPr>
              <w:t>floor space</w:t>
            </w:r>
          </w:p>
          <w:p w:rsidR="009858DF" w:rsidRDefault="00452E95" w:rsidP="00452E95">
            <w:pPr>
              <w:autoSpaceDE w:val="0"/>
              <w:autoSpaceDN w:val="0"/>
              <w:adjustRightInd w:val="0"/>
              <w:spacing w:before="0"/>
              <w:ind w:left="567" w:hanging="567"/>
              <w:jc w:val="left"/>
              <w:rPr>
                <w:rFonts w:asciiTheme="minorHAnsi" w:hAnsiTheme="minorHAnsi" w:cs="Calibri,Bold"/>
                <w:b/>
                <w:bCs/>
                <w:lang w:eastAsia="en-AU"/>
              </w:rPr>
            </w:pPr>
            <w:r w:rsidRPr="005A7631">
              <w:rPr>
                <w:rFonts w:asciiTheme="minorHAnsi" w:hAnsiTheme="minorHAnsi" w:cs="Calibri,Bold"/>
                <w:b/>
                <w:bCs/>
                <w:lang w:eastAsia="en-AU"/>
              </w:rPr>
              <w:t>2</w:t>
            </w:r>
            <w:r w:rsidRPr="005A7631">
              <w:rPr>
                <w:rFonts w:asciiTheme="minorHAnsi" w:hAnsiTheme="minorHAnsi" w:cs="Calibri,Bold"/>
                <w:b/>
                <w:bCs/>
                <w:lang w:eastAsia="en-AU"/>
              </w:rPr>
              <w:tab/>
            </w:r>
            <w:r w:rsidR="00CD1BAB" w:rsidRPr="005A7631">
              <w:rPr>
                <w:rFonts w:asciiTheme="minorHAnsi" w:hAnsiTheme="minorHAnsi" w:cs="Calibri,Bold"/>
                <w:b/>
                <w:bCs/>
                <w:lang w:eastAsia="en-AU"/>
              </w:rPr>
              <w:t>That Council seeks a Gateway Determination from the Department of Planning and Environment consistent with the above and then undertake public exhibition for a period of 28 days prior to reporting back to Council.</w:t>
            </w:r>
          </w:p>
          <w:p w:rsidR="00584930" w:rsidRPr="00155743" w:rsidRDefault="00584930" w:rsidP="00452E95">
            <w:pPr>
              <w:autoSpaceDE w:val="0"/>
              <w:autoSpaceDN w:val="0"/>
              <w:adjustRightInd w:val="0"/>
              <w:spacing w:before="0"/>
              <w:ind w:left="567" w:hanging="567"/>
              <w:jc w:val="left"/>
            </w:pPr>
            <w:r>
              <w:rPr>
                <w:rFonts w:asciiTheme="minorHAnsi" w:hAnsiTheme="minorHAnsi" w:cs="Calibri,Bold"/>
                <w:b/>
                <w:bCs/>
                <w:lang w:eastAsia="en-AU"/>
              </w:rPr>
              <w:t>3</w:t>
            </w:r>
            <w:r>
              <w:rPr>
                <w:rFonts w:asciiTheme="minorHAnsi" w:hAnsiTheme="minorHAnsi" w:cs="Calibri,Bold"/>
                <w:b/>
                <w:bCs/>
                <w:lang w:eastAsia="en-AU"/>
              </w:rPr>
              <w:tab/>
              <w:t>That Council’s support is predicated on the centre not allowing higher order retail uses such as Discount Department Stores</w:t>
            </w:r>
            <w:r w:rsidR="0002292D">
              <w:rPr>
                <w:rFonts w:asciiTheme="minorHAnsi" w:hAnsiTheme="minorHAnsi" w:cs="Calibri,Bold"/>
                <w:b/>
                <w:bCs/>
                <w:lang w:eastAsia="en-AU"/>
              </w:rPr>
              <w:t xml:space="preserve"> and that absent resolution of this condition that support be withdrawn.</w:t>
            </w:r>
          </w:p>
        </w:tc>
      </w:tr>
    </w:tbl>
    <w:p w:rsidR="00E616C3" w:rsidRPr="00352197" w:rsidRDefault="00E616C3" w:rsidP="00E616C3">
      <w:pPr>
        <w:spacing w:before="0"/>
        <w:rPr>
          <w:rFonts w:ascii="Arial" w:hAnsi="Arial" w:cs="Arial"/>
          <w:sz w:val="16"/>
          <w:szCs w:val="16"/>
          <w:lang w:val="en-GB"/>
        </w:rPr>
      </w:pPr>
      <w:r w:rsidRPr="00352197">
        <w:rPr>
          <w:rFonts w:ascii="Arial" w:hAnsi="Arial" w:cs="Arial"/>
          <w:i/>
          <w:vanish/>
          <w:color w:val="FF0000"/>
          <w:sz w:val="16"/>
          <w:szCs w:val="16"/>
          <w:lang w:val="en-GB"/>
        </w:rPr>
        <w:t>Do not delete this line</w:t>
      </w:r>
    </w:p>
    <w:p w:rsidR="00E616C3" w:rsidRPr="00352197" w:rsidRDefault="00E616C3" w:rsidP="00E616C3">
      <w:pPr>
        <w:rPr>
          <w:rFonts w:ascii="Arial" w:hAnsi="Arial" w:cs="Arial"/>
          <w:lang w:val="en-GB"/>
        </w:rPr>
        <w:sectPr w:rsidR="00E616C3" w:rsidRPr="00352197" w:rsidSect="001A6479">
          <w:type w:val="continuous"/>
          <w:pgSz w:w="11907" w:h="16840" w:code="9"/>
          <w:pgMar w:top="567" w:right="1440" w:bottom="567" w:left="1440" w:header="709" w:footer="709" w:gutter="0"/>
          <w:cols w:space="720"/>
          <w:formProt w:val="0"/>
        </w:sectPr>
      </w:pPr>
    </w:p>
    <w:p w:rsidR="00AA7CC9" w:rsidRPr="00C30B4F" w:rsidRDefault="00AA7CC9" w:rsidP="00C30B4F">
      <w:pPr>
        <w:keepNext/>
        <w:spacing w:before="240"/>
        <w:outlineLvl w:val="2"/>
        <w:rPr>
          <w:b/>
          <w:caps/>
          <w:lang w:val="en-US"/>
        </w:rPr>
      </w:pPr>
      <w:r w:rsidRPr="00C30B4F">
        <w:rPr>
          <w:b/>
          <w:caps/>
          <w:lang w:val="en-US"/>
        </w:rPr>
        <w:t>further considerations</w:t>
      </w:r>
    </w:p>
    <w:p w:rsidR="00AA7CC9" w:rsidRPr="00C30B4F" w:rsidRDefault="00AA7CC9" w:rsidP="00C30B4F">
      <w:pPr>
        <w:rPr>
          <w:lang w:val="en-US"/>
        </w:rPr>
      </w:pPr>
      <w:r w:rsidRPr="00C30B4F">
        <w:rPr>
          <w:lang w:val="en-US"/>
        </w:rPr>
        <w:t>The recommendation of this report has been assessed against Council’s other key risk categories and the following comments are provided:</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1668"/>
        <w:gridCol w:w="7512"/>
      </w:tblGrid>
      <w:tr w:rsidR="00BF536C" w:rsidRPr="00C30B4F" w:rsidTr="00BF536C">
        <w:tc>
          <w:tcPr>
            <w:tcW w:w="1668" w:type="dxa"/>
          </w:tcPr>
          <w:p w:rsidR="00BF536C" w:rsidRPr="00C30B4F" w:rsidRDefault="00BF536C" w:rsidP="00C30B4F">
            <w:pPr>
              <w:spacing w:before="0"/>
              <w:rPr>
                <w:rFonts w:cs="Calibri"/>
                <w:szCs w:val="22"/>
              </w:rPr>
            </w:pPr>
            <w:r w:rsidRPr="00C30B4F">
              <w:rPr>
                <w:rFonts w:cs="Calibri"/>
                <w:szCs w:val="22"/>
              </w:rPr>
              <w:t>Environmental</w:t>
            </w:r>
          </w:p>
        </w:tc>
        <w:tc>
          <w:tcPr>
            <w:tcW w:w="7512" w:type="dxa"/>
          </w:tcPr>
          <w:p w:rsidR="00BF536C" w:rsidRPr="00C30B4F" w:rsidRDefault="00BF536C" w:rsidP="00BF536C">
            <w:pPr>
              <w:autoSpaceDE w:val="0"/>
              <w:autoSpaceDN w:val="0"/>
              <w:adjustRightInd w:val="0"/>
              <w:spacing w:before="0"/>
              <w:rPr>
                <w:rFonts w:cs="Calibri"/>
                <w:vanish/>
                <w:color w:val="808080" w:themeColor="background1" w:themeShade="80"/>
                <w:szCs w:val="22"/>
              </w:rPr>
            </w:pPr>
            <w:r>
              <w:rPr>
                <w:rFonts w:cs="Calibri"/>
                <w:lang w:eastAsia="en-AU"/>
              </w:rPr>
              <w:t>The expansion of an out of centre commercial precinct needs to be balanced against the objective of maintaining a strong and robust central business district. Additionally, the site is accessed through an intersection that has already been the subject of significant community concern. Accordingly, traffic mitigation strategies need to be considered for any additional development in this location. These issues are discussed in the body of the report.</w:t>
            </w:r>
          </w:p>
        </w:tc>
      </w:tr>
    </w:tbl>
    <w:p w:rsidR="00AA7CC9" w:rsidRPr="00C30B4F" w:rsidRDefault="00AA7CC9" w:rsidP="00C30B4F">
      <w:pPr>
        <w:keepNext/>
        <w:spacing w:before="240"/>
        <w:outlineLvl w:val="2"/>
        <w:rPr>
          <w:b/>
          <w:caps/>
          <w:lang w:val="en-US"/>
        </w:rPr>
      </w:pPr>
      <w:r w:rsidRPr="00C30B4F">
        <w:rPr>
          <w:b/>
          <w:caps/>
          <w:lang w:val="en-US"/>
        </w:rPr>
        <w:t>SUPPORTING INFORMATION</w:t>
      </w:r>
    </w:p>
    <w:p w:rsidR="001A6FB9" w:rsidRDefault="001A6FB9" w:rsidP="00452E95">
      <w:pPr>
        <w:autoSpaceDE w:val="0"/>
        <w:autoSpaceDN w:val="0"/>
        <w:adjustRightInd w:val="0"/>
        <w:spacing w:before="0" w:after="120"/>
        <w:rPr>
          <w:rFonts w:cs="Calibri"/>
          <w:lang w:eastAsia="en-AU"/>
        </w:rPr>
      </w:pPr>
      <w:r>
        <w:rPr>
          <w:rFonts w:cs="Calibri"/>
          <w:lang w:eastAsia="en-AU"/>
        </w:rPr>
        <w:t>While the North Orange shopping centre was originally developed by Woolworths and the current proposal involves a potential expansion of the Woolworths supermarket, it should be noted that Woolworths no longer hold an interest in the site, beyond being tenants of the centre.</w:t>
      </w:r>
    </w:p>
    <w:p w:rsidR="00F16523" w:rsidRDefault="00F16523" w:rsidP="00452E95">
      <w:pPr>
        <w:autoSpaceDE w:val="0"/>
        <w:autoSpaceDN w:val="0"/>
        <w:adjustRightInd w:val="0"/>
        <w:spacing w:before="0" w:after="120"/>
        <w:rPr>
          <w:rFonts w:cs="Calibri"/>
          <w:lang w:eastAsia="en-AU"/>
        </w:rPr>
      </w:pPr>
      <w:r>
        <w:rPr>
          <w:rFonts w:cs="Calibri"/>
          <w:lang w:eastAsia="en-AU"/>
        </w:rPr>
        <w:t xml:space="preserve">The proponent is SCA Property Group, established by Woolworths </w:t>
      </w:r>
      <w:r w:rsidR="001A6FB9">
        <w:rPr>
          <w:rFonts w:cs="Calibri"/>
          <w:lang w:eastAsia="en-AU"/>
        </w:rPr>
        <w:t>to be</w:t>
      </w:r>
      <w:r>
        <w:rPr>
          <w:rFonts w:cs="Calibri"/>
          <w:lang w:eastAsia="en-AU"/>
        </w:rPr>
        <w:t xml:space="preserve"> a landlord for a number of its owned shopping centres in October 2012. Woolworths transferred ownership of the shopping centres to SCA and then transferred SCA to </w:t>
      </w:r>
      <w:proofErr w:type="gramStart"/>
      <w:r>
        <w:rPr>
          <w:rFonts w:cs="Calibri"/>
          <w:lang w:eastAsia="en-AU"/>
        </w:rPr>
        <w:t>Woolworths</w:t>
      </w:r>
      <w:proofErr w:type="gramEnd"/>
      <w:r>
        <w:rPr>
          <w:rFonts w:cs="Calibri"/>
          <w:lang w:eastAsia="en-AU"/>
        </w:rPr>
        <w:t xml:space="preserve"> shareholders (an in-specie distribution).</w:t>
      </w:r>
    </w:p>
    <w:p w:rsidR="00F16523" w:rsidRDefault="00F16523" w:rsidP="00452E95">
      <w:pPr>
        <w:autoSpaceDE w:val="0"/>
        <w:autoSpaceDN w:val="0"/>
        <w:adjustRightInd w:val="0"/>
        <w:spacing w:before="0" w:after="120"/>
        <w:rPr>
          <w:rFonts w:cs="Calibri"/>
          <w:lang w:eastAsia="en-AU"/>
        </w:rPr>
      </w:pPr>
      <w:r>
        <w:rPr>
          <w:rFonts w:cs="Calibri"/>
          <w:lang w:eastAsia="en-AU"/>
        </w:rPr>
        <w:t xml:space="preserve">SCA is listed on the ASX and according to the SCA Property Group website </w:t>
      </w:r>
      <w:r w:rsidRPr="003254EE">
        <w:rPr>
          <w:rFonts w:cs="Calibri"/>
          <w:i/>
          <w:lang w:eastAsia="en-AU"/>
        </w:rPr>
        <w:t>“Woolworths has no ownership interest in SCA Property Group following its listing”.</w:t>
      </w:r>
    </w:p>
    <w:p w:rsidR="00452E95" w:rsidRDefault="00F16523" w:rsidP="00452E95">
      <w:pPr>
        <w:autoSpaceDE w:val="0"/>
        <w:autoSpaceDN w:val="0"/>
        <w:adjustRightInd w:val="0"/>
        <w:spacing w:before="0" w:after="120"/>
        <w:rPr>
          <w:rFonts w:cs="Calibri"/>
          <w:lang w:eastAsia="en-AU"/>
        </w:rPr>
      </w:pPr>
      <w:r>
        <w:rPr>
          <w:rFonts w:cs="Calibri"/>
          <w:lang w:eastAsia="en-AU"/>
        </w:rPr>
        <w:t>SCA Property Group, as landowner of 9 Telopea Way, are seeking to expand the North Orange shopping centre to enable a second full line supermarket, several additional specialty shops and a potential mini-supermarket.</w:t>
      </w:r>
      <w:r w:rsidR="00452E95">
        <w:rPr>
          <w:rFonts w:cs="Calibri"/>
          <w:lang w:eastAsia="en-AU"/>
        </w:rPr>
        <w:t xml:space="preserve"> </w:t>
      </w:r>
    </w:p>
    <w:p w:rsidR="00CD1BAB" w:rsidRDefault="00CD1BAB" w:rsidP="00452E95">
      <w:pPr>
        <w:autoSpaceDE w:val="0"/>
        <w:autoSpaceDN w:val="0"/>
        <w:adjustRightInd w:val="0"/>
        <w:spacing w:before="0" w:after="120"/>
        <w:rPr>
          <w:rFonts w:cs="Calibri"/>
          <w:lang w:eastAsia="en-AU"/>
        </w:rPr>
      </w:pPr>
      <w:r>
        <w:rPr>
          <w:rFonts w:cs="Calibri"/>
          <w:lang w:eastAsia="en-AU"/>
        </w:rPr>
        <w:t>A conceptual site plan has been included in the proposal to illustrate how such an expansion</w:t>
      </w:r>
      <w:r w:rsidR="00F16523">
        <w:rPr>
          <w:rFonts w:cs="Calibri"/>
          <w:lang w:eastAsia="en-AU"/>
        </w:rPr>
        <w:t xml:space="preserve"> </w:t>
      </w:r>
      <w:r>
        <w:rPr>
          <w:rFonts w:cs="Calibri"/>
          <w:lang w:eastAsia="en-AU"/>
        </w:rPr>
        <w:t>could be designed. However, the ultimate design of any expansion would be the subject of a</w:t>
      </w:r>
      <w:r w:rsidR="00F16523">
        <w:rPr>
          <w:rFonts w:cs="Calibri"/>
          <w:lang w:eastAsia="en-AU"/>
        </w:rPr>
        <w:t xml:space="preserve"> </w:t>
      </w:r>
      <w:r>
        <w:rPr>
          <w:rFonts w:cs="Calibri"/>
          <w:lang w:eastAsia="en-AU"/>
        </w:rPr>
        <w:t>future development application, which could involve various changes to the concept</w:t>
      </w:r>
      <w:r w:rsidR="00F16523">
        <w:rPr>
          <w:rFonts w:cs="Calibri"/>
          <w:lang w:eastAsia="en-AU"/>
        </w:rPr>
        <w:t xml:space="preserve"> </w:t>
      </w:r>
      <w:r>
        <w:rPr>
          <w:rFonts w:cs="Calibri"/>
          <w:lang w:eastAsia="en-AU"/>
        </w:rPr>
        <w:t>presented. The value of the conceptual plan is therefore to illustrate the overall scale of the</w:t>
      </w:r>
      <w:r w:rsidR="00F16523">
        <w:rPr>
          <w:rFonts w:cs="Calibri"/>
          <w:lang w:eastAsia="en-AU"/>
        </w:rPr>
        <w:t xml:space="preserve"> </w:t>
      </w:r>
      <w:r>
        <w:rPr>
          <w:rFonts w:cs="Calibri"/>
          <w:lang w:eastAsia="en-AU"/>
        </w:rPr>
        <w:t>expansion and affirm that a workable design is possible on the site (subject to rezoning).</w:t>
      </w:r>
    </w:p>
    <w:p w:rsidR="00CD1BAB" w:rsidRDefault="00CD1BAB" w:rsidP="00452E95">
      <w:pPr>
        <w:autoSpaceDE w:val="0"/>
        <w:autoSpaceDN w:val="0"/>
        <w:adjustRightInd w:val="0"/>
        <w:spacing w:before="0" w:after="120"/>
        <w:rPr>
          <w:rFonts w:cs="Calibri"/>
          <w:lang w:eastAsia="en-AU"/>
        </w:rPr>
      </w:pPr>
      <w:r>
        <w:rPr>
          <w:rFonts w:cs="Calibri"/>
          <w:lang w:eastAsia="en-AU"/>
        </w:rPr>
        <w:t>SCA contend that expansion of the centre is justified on the basis of a growing population</w:t>
      </w:r>
      <w:r w:rsidR="00F16523">
        <w:rPr>
          <w:rFonts w:cs="Calibri"/>
          <w:lang w:eastAsia="en-AU"/>
        </w:rPr>
        <w:t xml:space="preserve"> </w:t>
      </w:r>
      <w:r>
        <w:rPr>
          <w:rFonts w:cs="Calibri"/>
          <w:lang w:eastAsia="en-AU"/>
        </w:rPr>
        <w:t>base in North Orange. The proposal includes an economic impact assessment and a traffic</w:t>
      </w:r>
      <w:r w:rsidR="00F16523">
        <w:rPr>
          <w:rFonts w:cs="Calibri"/>
          <w:lang w:eastAsia="en-AU"/>
        </w:rPr>
        <w:t xml:space="preserve"> </w:t>
      </w:r>
      <w:r>
        <w:rPr>
          <w:rFonts w:cs="Calibri"/>
          <w:lang w:eastAsia="en-AU"/>
        </w:rPr>
        <w:t>report by the proponent to seek to address the most significant issues relating to the site</w:t>
      </w:r>
      <w:r w:rsidR="00F16523">
        <w:rPr>
          <w:rFonts w:cs="Calibri"/>
          <w:lang w:eastAsia="en-AU"/>
        </w:rPr>
        <w:t xml:space="preserve"> </w:t>
      </w:r>
      <w:r>
        <w:rPr>
          <w:rFonts w:cs="Calibri"/>
          <w:lang w:eastAsia="en-AU"/>
        </w:rPr>
        <w:t>and locality.</w:t>
      </w:r>
    </w:p>
    <w:p w:rsidR="00CD1BAB" w:rsidRDefault="00CD1BAB" w:rsidP="00452E95">
      <w:pPr>
        <w:autoSpaceDE w:val="0"/>
        <w:autoSpaceDN w:val="0"/>
        <w:adjustRightInd w:val="0"/>
        <w:spacing w:before="0" w:after="120"/>
        <w:rPr>
          <w:rFonts w:cs="Calibri"/>
          <w:lang w:eastAsia="en-AU"/>
        </w:rPr>
      </w:pPr>
      <w:r>
        <w:rPr>
          <w:rFonts w:cs="Calibri"/>
          <w:lang w:eastAsia="en-AU"/>
        </w:rPr>
        <w:t>This report also has regard for the future role of land on the eastern side of Telopea Way,</w:t>
      </w:r>
      <w:r w:rsidR="00F16523">
        <w:rPr>
          <w:rFonts w:cs="Calibri"/>
          <w:lang w:eastAsia="en-AU"/>
        </w:rPr>
        <w:t xml:space="preserve"> </w:t>
      </w:r>
      <w:r>
        <w:rPr>
          <w:rFonts w:cs="Calibri"/>
          <w:lang w:eastAsia="en-AU"/>
        </w:rPr>
        <w:t>known as Lot 111 DP 1194964, which was the subject of a previous planning proposal from</w:t>
      </w:r>
      <w:r w:rsidR="00F16523">
        <w:rPr>
          <w:rFonts w:cs="Calibri"/>
          <w:lang w:eastAsia="en-AU"/>
        </w:rPr>
        <w:t xml:space="preserve"> </w:t>
      </w:r>
      <w:r>
        <w:rPr>
          <w:rFonts w:cs="Calibri"/>
          <w:lang w:eastAsia="en-AU"/>
        </w:rPr>
        <w:t>Garfield Road Holdings Pty Limited (GRH) for a service station and restaurant rezoning.</w:t>
      </w:r>
    </w:p>
    <w:p w:rsidR="00CD1BAB" w:rsidRDefault="00CD1BAB" w:rsidP="00452E95">
      <w:pPr>
        <w:autoSpaceDE w:val="0"/>
        <w:autoSpaceDN w:val="0"/>
        <w:adjustRightInd w:val="0"/>
        <w:spacing w:before="0" w:after="120"/>
        <w:rPr>
          <w:rFonts w:cs="Calibri"/>
          <w:lang w:eastAsia="en-AU"/>
        </w:rPr>
      </w:pPr>
      <w:r>
        <w:rPr>
          <w:rFonts w:cs="Calibri"/>
          <w:lang w:eastAsia="en-AU"/>
        </w:rPr>
        <w:t>Council rejected that proposal and GRH subsequently sought to have Council’s decision</w:t>
      </w:r>
      <w:r w:rsidR="00F16523">
        <w:rPr>
          <w:rFonts w:cs="Calibri"/>
          <w:lang w:eastAsia="en-AU"/>
        </w:rPr>
        <w:t xml:space="preserve"> </w:t>
      </w:r>
      <w:r>
        <w:rPr>
          <w:rFonts w:cs="Calibri"/>
          <w:lang w:eastAsia="en-AU"/>
        </w:rPr>
        <w:t>overturned by the Joint Regional Planning Panel (JRPP).</w:t>
      </w:r>
      <w:r w:rsidR="00452E95">
        <w:rPr>
          <w:rFonts w:cs="Calibri"/>
          <w:lang w:eastAsia="en-AU"/>
        </w:rPr>
        <w:t xml:space="preserve"> After a lengthy process the JRPP ultimately upheld Council</w:t>
      </w:r>
      <w:r w:rsidR="00AA5BC2">
        <w:rPr>
          <w:rFonts w:cs="Calibri"/>
          <w:lang w:eastAsia="en-AU"/>
        </w:rPr>
        <w:t>’</w:t>
      </w:r>
      <w:r w:rsidR="00452E95">
        <w:rPr>
          <w:rFonts w:cs="Calibri"/>
          <w:lang w:eastAsia="en-AU"/>
        </w:rPr>
        <w:t>s rejection of the GRH proposal.</w:t>
      </w:r>
    </w:p>
    <w:p w:rsidR="00097080" w:rsidRDefault="00097080">
      <w:pPr>
        <w:spacing w:before="0"/>
        <w:jc w:val="left"/>
        <w:rPr>
          <w:rFonts w:cs="Calibri"/>
          <w:lang w:eastAsia="en-AU"/>
        </w:rPr>
      </w:pPr>
      <w:r>
        <w:rPr>
          <w:rFonts w:cs="Calibri"/>
          <w:lang w:eastAsia="en-AU"/>
        </w:rPr>
        <w:br w:type="page"/>
      </w:r>
    </w:p>
    <w:p w:rsidR="00AA7CC9" w:rsidRDefault="00CD1BAB" w:rsidP="00452E95">
      <w:pPr>
        <w:autoSpaceDE w:val="0"/>
        <w:autoSpaceDN w:val="0"/>
        <w:adjustRightInd w:val="0"/>
        <w:spacing w:before="0" w:after="120"/>
        <w:rPr>
          <w:rFonts w:cs="Calibri"/>
          <w:lang w:eastAsia="en-AU"/>
        </w:rPr>
      </w:pPr>
      <w:r>
        <w:rPr>
          <w:rFonts w:cs="Calibri"/>
          <w:lang w:eastAsia="en-AU"/>
        </w:rPr>
        <w:t>SCA and GRH are unrelated entities and each proposal needs to be considered on its</w:t>
      </w:r>
      <w:r w:rsidR="00F16523">
        <w:rPr>
          <w:rFonts w:cs="Calibri"/>
          <w:lang w:eastAsia="en-AU"/>
        </w:rPr>
        <w:t xml:space="preserve"> </w:t>
      </w:r>
      <w:r>
        <w:rPr>
          <w:rFonts w:cs="Calibri"/>
          <w:lang w:eastAsia="en-AU"/>
        </w:rPr>
        <w:t>individual merits. However the cumulative effects of each proposal are influenced by the</w:t>
      </w:r>
      <w:r w:rsidR="00F16523">
        <w:rPr>
          <w:rFonts w:cs="Calibri"/>
          <w:lang w:eastAsia="en-AU"/>
        </w:rPr>
        <w:t xml:space="preserve"> </w:t>
      </w:r>
      <w:r>
        <w:rPr>
          <w:rFonts w:cs="Calibri"/>
          <w:lang w:eastAsia="en-AU"/>
        </w:rPr>
        <w:t>other and therefore become relevant considerations. It is in this context that the GRH</w:t>
      </w:r>
      <w:r w:rsidR="00F16523">
        <w:rPr>
          <w:rFonts w:cs="Calibri"/>
          <w:lang w:eastAsia="en-AU"/>
        </w:rPr>
        <w:t xml:space="preserve"> </w:t>
      </w:r>
      <w:r>
        <w:rPr>
          <w:rFonts w:cs="Calibri"/>
          <w:lang w:eastAsia="en-AU"/>
        </w:rPr>
        <w:t>proposal is discussed.</w:t>
      </w:r>
    </w:p>
    <w:p w:rsidR="00BF536C" w:rsidRPr="00BF536C" w:rsidRDefault="00BF536C" w:rsidP="00452E95">
      <w:pPr>
        <w:autoSpaceDE w:val="0"/>
        <w:autoSpaceDN w:val="0"/>
        <w:adjustRightInd w:val="0"/>
        <w:spacing w:before="0" w:after="120"/>
        <w:rPr>
          <w:rFonts w:cs="Calibri"/>
          <w:sz w:val="8"/>
          <w:lang w:eastAsia="en-AU"/>
        </w:rPr>
      </w:pPr>
    </w:p>
    <w:p w:rsidR="00CD1BAB" w:rsidRPr="00500791" w:rsidRDefault="00857686" w:rsidP="00BF536C">
      <w:pPr>
        <w:autoSpaceDE w:val="0"/>
        <w:autoSpaceDN w:val="0"/>
        <w:adjustRightInd w:val="0"/>
        <w:jc w:val="left"/>
        <w:rPr>
          <w:rFonts w:asciiTheme="minorHAnsi" w:hAnsiTheme="minorHAnsi" w:cs="Calibri,Bold"/>
          <w:b/>
          <w:bCs/>
          <w:lang w:eastAsia="en-AU"/>
        </w:rPr>
      </w:pPr>
      <w:r w:rsidRPr="00500791">
        <w:rPr>
          <w:rFonts w:asciiTheme="minorHAnsi" w:hAnsiTheme="minorHAnsi" w:cs="Calibri,Bold"/>
          <w:b/>
          <w:bCs/>
          <w:lang w:eastAsia="en-AU"/>
        </w:rPr>
        <w:t>Location context</w:t>
      </w:r>
    </w:p>
    <w:p w:rsidR="00CD1BAB" w:rsidRDefault="00CD1BAB" w:rsidP="00A80357">
      <w:pPr>
        <w:autoSpaceDE w:val="0"/>
        <w:autoSpaceDN w:val="0"/>
        <w:adjustRightInd w:val="0"/>
        <w:spacing w:before="0" w:after="120"/>
        <w:rPr>
          <w:rFonts w:cs="Calibri"/>
          <w:lang w:eastAsia="en-AU"/>
        </w:rPr>
      </w:pPr>
      <w:r>
        <w:rPr>
          <w:rFonts w:cs="Calibri"/>
          <w:lang w:eastAsia="en-AU"/>
        </w:rPr>
        <w:t>Telopea Way is a short north-south cul-de-sac connecting at its southern end with the</w:t>
      </w:r>
      <w:r w:rsidR="00F16523">
        <w:rPr>
          <w:rFonts w:cs="Calibri"/>
          <w:lang w:eastAsia="en-AU"/>
        </w:rPr>
        <w:t xml:space="preserve"> </w:t>
      </w:r>
      <w:r>
        <w:rPr>
          <w:rFonts w:cs="Calibri"/>
          <w:lang w:eastAsia="en-AU"/>
        </w:rPr>
        <w:t>Northern Distributor Road (NDR). A short distance north of this intersection is an eastern</w:t>
      </w:r>
      <w:r w:rsidR="00F16523">
        <w:rPr>
          <w:rFonts w:cs="Calibri"/>
          <w:lang w:eastAsia="en-AU"/>
        </w:rPr>
        <w:t xml:space="preserve"> </w:t>
      </w:r>
      <w:r>
        <w:rPr>
          <w:rFonts w:cs="Calibri"/>
          <w:lang w:eastAsia="en-AU"/>
        </w:rPr>
        <w:t>connection to Farrell Road providing a link through to the surrounding residential area. The</w:t>
      </w:r>
      <w:r w:rsidR="00F16523">
        <w:rPr>
          <w:rFonts w:cs="Calibri"/>
          <w:lang w:eastAsia="en-AU"/>
        </w:rPr>
        <w:t xml:space="preserve"> </w:t>
      </w:r>
      <w:r>
        <w:rPr>
          <w:rFonts w:cs="Calibri"/>
          <w:lang w:eastAsia="en-AU"/>
        </w:rPr>
        <w:t>proximity of development in the area has resulted in significant traffic volumes. Additionally,</w:t>
      </w:r>
      <w:r w:rsidR="00F16523">
        <w:rPr>
          <w:rFonts w:cs="Calibri"/>
          <w:lang w:eastAsia="en-AU"/>
        </w:rPr>
        <w:t xml:space="preserve"> </w:t>
      </w:r>
      <w:r>
        <w:rPr>
          <w:rFonts w:cs="Calibri"/>
          <w:lang w:eastAsia="en-AU"/>
        </w:rPr>
        <w:t>some motorists have reported the configuration of the two intersections and the associated</w:t>
      </w:r>
      <w:r w:rsidR="00F16523">
        <w:rPr>
          <w:rFonts w:cs="Calibri"/>
          <w:lang w:eastAsia="en-AU"/>
        </w:rPr>
        <w:t xml:space="preserve"> </w:t>
      </w:r>
      <w:r>
        <w:rPr>
          <w:rFonts w:cs="Calibri"/>
          <w:lang w:eastAsia="en-AU"/>
        </w:rPr>
        <w:t>lights to be difficult.</w:t>
      </w:r>
    </w:p>
    <w:p w:rsidR="00CD1BAB" w:rsidRDefault="00CD1BAB" w:rsidP="00A80357">
      <w:pPr>
        <w:autoSpaceDE w:val="0"/>
        <w:autoSpaceDN w:val="0"/>
        <w:adjustRightInd w:val="0"/>
        <w:spacing w:before="0" w:after="120"/>
        <w:rPr>
          <w:rFonts w:cs="Calibri"/>
          <w:lang w:eastAsia="en-AU"/>
        </w:rPr>
      </w:pPr>
      <w:r>
        <w:rPr>
          <w:rFonts w:cs="Calibri"/>
          <w:lang w:eastAsia="en-AU"/>
        </w:rPr>
        <w:t xml:space="preserve">The existing North Orange shopping centre comprises a </w:t>
      </w:r>
      <w:r w:rsidR="00A80357">
        <w:rPr>
          <w:rFonts w:cs="Calibri"/>
          <w:lang w:eastAsia="en-AU"/>
        </w:rPr>
        <w:t>3,200m</w:t>
      </w:r>
      <w:r w:rsidR="00A80357" w:rsidRPr="00A80357">
        <w:rPr>
          <w:rFonts w:cs="Calibri"/>
          <w:vertAlign w:val="superscript"/>
          <w:lang w:eastAsia="en-AU"/>
        </w:rPr>
        <w:t>2</w:t>
      </w:r>
      <w:r w:rsidR="00A80357">
        <w:rPr>
          <w:rFonts w:cs="Calibri"/>
          <w:lang w:eastAsia="en-AU"/>
        </w:rPr>
        <w:t xml:space="preserve"> </w:t>
      </w:r>
      <w:r>
        <w:rPr>
          <w:rFonts w:cs="Calibri"/>
          <w:lang w:eastAsia="en-AU"/>
        </w:rPr>
        <w:t>Woolworths supermarket</w:t>
      </w:r>
      <w:r w:rsidR="00702DFF">
        <w:rPr>
          <w:rFonts w:cs="Calibri"/>
          <w:lang w:eastAsia="en-AU"/>
        </w:rPr>
        <w:t xml:space="preserve"> with a further 1</w:t>
      </w:r>
      <w:r w:rsidR="002076C0">
        <w:rPr>
          <w:rFonts w:cs="Calibri"/>
          <w:lang w:eastAsia="en-AU"/>
        </w:rPr>
        <w:t>,</w:t>
      </w:r>
      <w:r w:rsidR="00702DFF">
        <w:rPr>
          <w:rFonts w:cs="Calibri"/>
          <w:lang w:eastAsia="en-AU"/>
        </w:rPr>
        <w:t>644m</w:t>
      </w:r>
      <w:r w:rsidR="00702DFF" w:rsidRPr="00702DFF">
        <w:rPr>
          <w:rFonts w:cs="Calibri"/>
          <w:vertAlign w:val="superscript"/>
          <w:lang w:eastAsia="en-AU"/>
        </w:rPr>
        <w:t>2</w:t>
      </w:r>
      <w:r w:rsidR="00702DFF">
        <w:rPr>
          <w:rFonts w:cs="Calibri"/>
          <w:lang w:eastAsia="en-AU"/>
        </w:rPr>
        <w:t xml:space="preserve"> of </w:t>
      </w:r>
      <w:r>
        <w:rPr>
          <w:rFonts w:cs="Calibri"/>
          <w:lang w:eastAsia="en-AU"/>
        </w:rPr>
        <w:t>specialty shops</w:t>
      </w:r>
      <w:r w:rsidR="00702DFF">
        <w:rPr>
          <w:rFonts w:cs="Calibri"/>
          <w:lang w:eastAsia="en-AU"/>
        </w:rPr>
        <w:t>, including a liquor outlet</w:t>
      </w:r>
      <w:r>
        <w:rPr>
          <w:rFonts w:cs="Calibri"/>
          <w:lang w:eastAsia="en-AU"/>
        </w:rPr>
        <w:t>. The total floor space is consistent with the floor space</w:t>
      </w:r>
      <w:r w:rsidR="00F16523">
        <w:rPr>
          <w:rFonts w:cs="Calibri"/>
          <w:lang w:eastAsia="en-AU"/>
        </w:rPr>
        <w:t xml:space="preserve"> </w:t>
      </w:r>
      <w:r>
        <w:rPr>
          <w:rFonts w:cs="Calibri"/>
          <w:lang w:eastAsia="en-AU"/>
        </w:rPr>
        <w:t xml:space="preserve">ratio map established to reflect the recommendations of the </w:t>
      </w:r>
      <w:r w:rsidR="006D53C1">
        <w:rPr>
          <w:rFonts w:cs="Calibri"/>
          <w:lang w:eastAsia="en-AU"/>
        </w:rPr>
        <w:t xml:space="preserve">Council’s </w:t>
      </w:r>
      <w:r>
        <w:rPr>
          <w:rFonts w:cs="Calibri"/>
          <w:lang w:eastAsia="en-AU"/>
        </w:rPr>
        <w:t>Business Centres Review</w:t>
      </w:r>
      <w:r w:rsidR="00F16523">
        <w:rPr>
          <w:rFonts w:cs="Calibri"/>
          <w:lang w:eastAsia="en-AU"/>
        </w:rPr>
        <w:t xml:space="preserve"> </w:t>
      </w:r>
      <w:r>
        <w:rPr>
          <w:rFonts w:cs="Calibri"/>
          <w:lang w:eastAsia="en-AU"/>
        </w:rPr>
        <w:t>Strategy. A key focus of the strategy was to establish an appropriate scale for the centre,</w:t>
      </w:r>
      <w:r w:rsidR="00F16523">
        <w:rPr>
          <w:rFonts w:cs="Calibri"/>
          <w:lang w:eastAsia="en-AU"/>
        </w:rPr>
        <w:t xml:space="preserve"> </w:t>
      </w:r>
      <w:r>
        <w:rPr>
          <w:rFonts w:cs="Calibri"/>
          <w:lang w:eastAsia="en-AU"/>
        </w:rPr>
        <w:t>balancing the needs of the local population in North Orange against preserving the trading</w:t>
      </w:r>
      <w:r w:rsidR="00F16523">
        <w:rPr>
          <w:rFonts w:cs="Calibri"/>
          <w:lang w:eastAsia="en-AU"/>
        </w:rPr>
        <w:t xml:space="preserve"> </w:t>
      </w:r>
      <w:r>
        <w:rPr>
          <w:rFonts w:cs="Calibri"/>
          <w:lang w:eastAsia="en-AU"/>
        </w:rPr>
        <w:t>performance and role of the Orange CBD. The potential for further expansion of the centre</w:t>
      </w:r>
      <w:r w:rsidR="00F16523">
        <w:rPr>
          <w:rFonts w:cs="Calibri"/>
          <w:lang w:eastAsia="en-AU"/>
        </w:rPr>
        <w:t xml:space="preserve"> </w:t>
      </w:r>
      <w:r>
        <w:rPr>
          <w:rFonts w:cs="Calibri"/>
          <w:lang w:eastAsia="en-AU"/>
        </w:rPr>
        <w:t>was noted in the strategy predicated upon the population base growing as supply of</w:t>
      </w:r>
      <w:r w:rsidR="00F16523">
        <w:rPr>
          <w:rFonts w:cs="Calibri"/>
          <w:lang w:eastAsia="en-AU"/>
        </w:rPr>
        <w:t xml:space="preserve"> </w:t>
      </w:r>
      <w:r>
        <w:rPr>
          <w:rFonts w:cs="Calibri"/>
          <w:lang w:eastAsia="en-AU"/>
        </w:rPr>
        <w:t>residential zone land in North Orange was taken up.</w:t>
      </w:r>
    </w:p>
    <w:p w:rsidR="00CD1BAB" w:rsidRDefault="00CD1BAB" w:rsidP="00A80357">
      <w:pPr>
        <w:autoSpaceDE w:val="0"/>
        <w:autoSpaceDN w:val="0"/>
        <w:adjustRightInd w:val="0"/>
        <w:spacing w:before="0" w:after="120"/>
        <w:rPr>
          <w:rFonts w:cs="Calibri"/>
          <w:lang w:eastAsia="en-AU"/>
        </w:rPr>
      </w:pPr>
      <w:r>
        <w:rPr>
          <w:rFonts w:cs="Calibri"/>
          <w:lang w:eastAsia="en-AU"/>
        </w:rPr>
        <w:t xml:space="preserve">Subsequently, approval has been granted for a </w:t>
      </w:r>
      <w:r w:rsidR="00702DFF">
        <w:rPr>
          <w:rFonts w:cs="Calibri"/>
          <w:lang w:eastAsia="en-AU"/>
        </w:rPr>
        <w:t>McDonald’s</w:t>
      </w:r>
      <w:r>
        <w:rPr>
          <w:rFonts w:cs="Calibri"/>
          <w:lang w:eastAsia="en-AU"/>
        </w:rPr>
        <w:t xml:space="preserve"> outlet at the corner of Telopea</w:t>
      </w:r>
      <w:r w:rsidR="00F16523">
        <w:rPr>
          <w:rFonts w:cs="Calibri"/>
          <w:lang w:eastAsia="en-AU"/>
        </w:rPr>
        <w:t xml:space="preserve"> </w:t>
      </w:r>
      <w:r>
        <w:rPr>
          <w:rFonts w:cs="Calibri"/>
          <w:lang w:eastAsia="en-AU"/>
        </w:rPr>
        <w:t>Way, Farrell Road and the NDR. A Planning Proposal for a restaurant and petrol station on</w:t>
      </w:r>
      <w:r w:rsidR="00F16523">
        <w:rPr>
          <w:rFonts w:cs="Calibri"/>
          <w:lang w:eastAsia="en-AU"/>
        </w:rPr>
        <w:t xml:space="preserve"> </w:t>
      </w:r>
      <w:r>
        <w:rPr>
          <w:rFonts w:cs="Calibri"/>
          <w:lang w:eastAsia="en-AU"/>
        </w:rPr>
        <w:t>land directly opposite this site was rejected by Council on a range of factors; principally</w:t>
      </w:r>
      <w:r w:rsidR="00F16523">
        <w:rPr>
          <w:rFonts w:cs="Calibri"/>
          <w:lang w:eastAsia="en-AU"/>
        </w:rPr>
        <w:t xml:space="preserve"> </w:t>
      </w:r>
      <w:r>
        <w:rPr>
          <w:rFonts w:cs="Calibri"/>
          <w:lang w:eastAsia="en-AU"/>
        </w:rPr>
        <w:t>compatibility with adjoining residential land to the east, proximity to established and</w:t>
      </w:r>
      <w:r w:rsidR="00F16523">
        <w:rPr>
          <w:rFonts w:cs="Calibri"/>
          <w:lang w:eastAsia="en-AU"/>
        </w:rPr>
        <w:t xml:space="preserve"> </w:t>
      </w:r>
      <w:r>
        <w:rPr>
          <w:rFonts w:cs="Calibri"/>
          <w:lang w:eastAsia="en-AU"/>
        </w:rPr>
        <w:t>approved child care centres, and traffic at the Telopea Way, Farrell Road and</w:t>
      </w:r>
      <w:r w:rsidR="00F16523">
        <w:rPr>
          <w:rFonts w:cs="Calibri"/>
          <w:lang w:eastAsia="en-AU"/>
        </w:rPr>
        <w:t xml:space="preserve"> </w:t>
      </w:r>
      <w:r>
        <w:rPr>
          <w:rFonts w:cs="Calibri"/>
          <w:lang w:eastAsia="en-AU"/>
        </w:rPr>
        <w:t>NDR intersections. The proponent Garfield Road Holdings Pty Limited (GRH) subsequently</w:t>
      </w:r>
      <w:r w:rsidR="00F16523">
        <w:rPr>
          <w:rFonts w:cs="Calibri"/>
          <w:lang w:eastAsia="en-AU"/>
        </w:rPr>
        <w:t xml:space="preserve"> </w:t>
      </w:r>
      <w:r>
        <w:rPr>
          <w:rFonts w:cs="Calibri"/>
          <w:lang w:eastAsia="en-AU"/>
        </w:rPr>
        <w:t>sought to have Councils decision overturned by the State government by applying to the</w:t>
      </w:r>
      <w:r w:rsidR="00F16523">
        <w:rPr>
          <w:rFonts w:cs="Calibri"/>
          <w:lang w:eastAsia="en-AU"/>
        </w:rPr>
        <w:t xml:space="preserve"> </w:t>
      </w:r>
      <w:r>
        <w:rPr>
          <w:rFonts w:cs="Calibri"/>
          <w:lang w:eastAsia="en-AU"/>
        </w:rPr>
        <w:t>Department of Planning via the Western Region JRPP to have their proposal for a rezoning</w:t>
      </w:r>
      <w:r w:rsidR="00F16523">
        <w:rPr>
          <w:rFonts w:cs="Calibri"/>
          <w:lang w:eastAsia="en-AU"/>
        </w:rPr>
        <w:t xml:space="preserve"> </w:t>
      </w:r>
      <w:r>
        <w:rPr>
          <w:rFonts w:cs="Calibri"/>
          <w:lang w:eastAsia="en-AU"/>
        </w:rPr>
        <w:t>re-examined.</w:t>
      </w:r>
    </w:p>
    <w:p w:rsidR="00CD1BAB" w:rsidRDefault="00CD1BAB" w:rsidP="00A80357">
      <w:pPr>
        <w:autoSpaceDE w:val="0"/>
        <w:autoSpaceDN w:val="0"/>
        <w:adjustRightInd w:val="0"/>
        <w:spacing w:before="0" w:after="120"/>
        <w:rPr>
          <w:rFonts w:cs="Calibri"/>
          <w:lang w:eastAsia="en-AU"/>
        </w:rPr>
      </w:pPr>
      <w:r>
        <w:rPr>
          <w:rFonts w:cs="Calibri"/>
          <w:lang w:eastAsia="en-AU"/>
        </w:rPr>
        <w:t>Despite Council staff representations</w:t>
      </w:r>
      <w:r w:rsidR="002C0E92">
        <w:rPr>
          <w:rFonts w:cs="Calibri"/>
          <w:lang w:eastAsia="en-AU"/>
        </w:rPr>
        <w:t xml:space="preserve">, </w:t>
      </w:r>
      <w:r>
        <w:rPr>
          <w:rFonts w:cs="Calibri"/>
          <w:lang w:eastAsia="en-AU"/>
        </w:rPr>
        <w:t>the JRPP determined that the matter could proceed to</w:t>
      </w:r>
      <w:r w:rsidR="00F16523">
        <w:rPr>
          <w:rFonts w:cs="Calibri"/>
          <w:lang w:eastAsia="en-AU"/>
        </w:rPr>
        <w:t xml:space="preserve"> </w:t>
      </w:r>
      <w:r>
        <w:rPr>
          <w:rFonts w:cs="Calibri"/>
          <w:lang w:eastAsia="en-AU"/>
        </w:rPr>
        <w:t xml:space="preserve">the gateway process. The Department of Planning and Environment </w:t>
      </w:r>
      <w:r w:rsidR="00A80357">
        <w:rPr>
          <w:rFonts w:cs="Calibri"/>
          <w:lang w:eastAsia="en-AU"/>
        </w:rPr>
        <w:t>then</w:t>
      </w:r>
      <w:r>
        <w:rPr>
          <w:rFonts w:cs="Calibri"/>
          <w:lang w:eastAsia="en-AU"/>
        </w:rPr>
        <w:t xml:space="preserve"> act</w:t>
      </w:r>
      <w:r w:rsidR="00A80357">
        <w:rPr>
          <w:rFonts w:cs="Calibri"/>
          <w:lang w:eastAsia="en-AU"/>
        </w:rPr>
        <w:t>ed</w:t>
      </w:r>
      <w:r>
        <w:rPr>
          <w:rFonts w:cs="Calibri"/>
          <w:lang w:eastAsia="en-AU"/>
        </w:rPr>
        <w:t xml:space="preserve"> as</w:t>
      </w:r>
      <w:r w:rsidR="00F16523">
        <w:rPr>
          <w:rFonts w:cs="Calibri"/>
          <w:lang w:eastAsia="en-AU"/>
        </w:rPr>
        <w:t xml:space="preserve"> </w:t>
      </w:r>
      <w:r>
        <w:rPr>
          <w:rFonts w:cs="Calibri"/>
          <w:lang w:eastAsia="en-AU"/>
        </w:rPr>
        <w:t xml:space="preserve">the relevant planning authority for processing of the proposal. </w:t>
      </w:r>
      <w:r w:rsidR="00A80357">
        <w:rPr>
          <w:rFonts w:cs="Calibri"/>
          <w:lang w:eastAsia="en-AU"/>
        </w:rPr>
        <w:t>After lengthy consideration the proposal was ultimately rejected for a variety of reasons, not least b</w:t>
      </w:r>
      <w:r w:rsidR="00F0292E">
        <w:rPr>
          <w:rFonts w:cs="Calibri"/>
          <w:lang w:eastAsia="en-AU"/>
        </w:rPr>
        <w:t>eing a nearby alternative site for such development already exists at Hanrahan Place.</w:t>
      </w:r>
    </w:p>
    <w:p w:rsidR="00CD1BAB" w:rsidRDefault="00CD1BAB" w:rsidP="00A80357">
      <w:pPr>
        <w:autoSpaceDE w:val="0"/>
        <w:autoSpaceDN w:val="0"/>
        <w:adjustRightInd w:val="0"/>
        <w:spacing w:before="0" w:after="120"/>
        <w:rPr>
          <w:rFonts w:cs="Calibri"/>
          <w:lang w:eastAsia="en-AU"/>
        </w:rPr>
      </w:pPr>
      <w:r>
        <w:rPr>
          <w:rFonts w:cs="Calibri"/>
          <w:lang w:eastAsia="en-AU"/>
        </w:rPr>
        <w:t>The subject land is on the western side of Telopea Way and differs to the rejected site on</w:t>
      </w:r>
      <w:r w:rsidR="00F16523">
        <w:rPr>
          <w:rFonts w:cs="Calibri"/>
          <w:lang w:eastAsia="en-AU"/>
        </w:rPr>
        <w:t xml:space="preserve"> </w:t>
      </w:r>
      <w:r>
        <w:rPr>
          <w:rFonts w:cs="Calibri"/>
          <w:lang w:eastAsia="en-AU"/>
        </w:rPr>
        <w:t>the eastern side of Telopea Way by virtue of being separated from the residential properties</w:t>
      </w:r>
      <w:r w:rsidR="00F16523">
        <w:rPr>
          <w:rFonts w:cs="Calibri"/>
          <w:lang w:eastAsia="en-AU"/>
        </w:rPr>
        <w:t xml:space="preserve"> </w:t>
      </w:r>
      <w:r>
        <w:rPr>
          <w:rFonts w:cs="Calibri"/>
          <w:lang w:eastAsia="en-AU"/>
        </w:rPr>
        <w:t>and child care centre</w:t>
      </w:r>
      <w:r w:rsidR="00D136F8" w:rsidRPr="00D136F8">
        <w:rPr>
          <w:rFonts w:cs="Calibri"/>
          <w:lang w:eastAsia="en-AU"/>
        </w:rPr>
        <w:t>. In addition, Council will soon commence construction of a</w:t>
      </w:r>
      <w:r w:rsidRPr="00D136F8">
        <w:rPr>
          <w:rFonts w:cs="Calibri"/>
          <w:lang w:eastAsia="en-AU"/>
        </w:rPr>
        <w:t xml:space="preserve"> road connection</w:t>
      </w:r>
      <w:r w:rsidR="00F16523" w:rsidRPr="00D136F8">
        <w:rPr>
          <w:rFonts w:cs="Calibri"/>
          <w:lang w:eastAsia="en-AU"/>
        </w:rPr>
        <w:t xml:space="preserve"> </w:t>
      </w:r>
      <w:r w:rsidRPr="00D136F8">
        <w:rPr>
          <w:rFonts w:cs="Calibri"/>
          <w:lang w:eastAsia="en-AU"/>
        </w:rPr>
        <w:t xml:space="preserve">to the west that would link the northern end of Telopea Way to </w:t>
      </w:r>
      <w:r w:rsidR="00D136F8" w:rsidRPr="00D136F8">
        <w:rPr>
          <w:rFonts w:cs="Calibri"/>
          <w:lang w:eastAsia="en-AU"/>
        </w:rPr>
        <w:t xml:space="preserve">the recently </w:t>
      </w:r>
      <w:r w:rsidRPr="00D136F8">
        <w:rPr>
          <w:rFonts w:cs="Calibri"/>
          <w:lang w:eastAsia="en-AU"/>
        </w:rPr>
        <w:t>constructed</w:t>
      </w:r>
      <w:r w:rsidR="00F16523" w:rsidRPr="00D136F8">
        <w:rPr>
          <w:rFonts w:cs="Calibri"/>
          <w:lang w:eastAsia="en-AU"/>
        </w:rPr>
        <w:t xml:space="preserve"> </w:t>
      </w:r>
      <w:r w:rsidR="00D136F8" w:rsidRPr="00D136F8">
        <w:rPr>
          <w:rFonts w:cs="Calibri"/>
          <w:lang w:eastAsia="en-AU"/>
        </w:rPr>
        <w:t xml:space="preserve">western </w:t>
      </w:r>
      <w:r w:rsidRPr="00D136F8">
        <w:rPr>
          <w:rFonts w:cs="Calibri"/>
          <w:lang w:eastAsia="en-AU"/>
        </w:rPr>
        <w:t>section of Diam</w:t>
      </w:r>
      <w:r w:rsidR="00D136F8" w:rsidRPr="00D136F8">
        <w:rPr>
          <w:rFonts w:cs="Calibri"/>
          <w:lang w:eastAsia="en-AU"/>
        </w:rPr>
        <w:t>ond Drive. This connection will</w:t>
      </w:r>
      <w:r w:rsidRPr="00D136F8">
        <w:rPr>
          <w:rFonts w:cs="Calibri"/>
          <w:lang w:eastAsia="en-AU"/>
        </w:rPr>
        <w:t xml:space="preserve"> provide a valuable relief route to ease</w:t>
      </w:r>
      <w:r w:rsidR="00F16523" w:rsidRPr="00D136F8">
        <w:rPr>
          <w:rFonts w:cs="Calibri"/>
          <w:lang w:eastAsia="en-AU"/>
        </w:rPr>
        <w:t xml:space="preserve"> </w:t>
      </w:r>
      <w:r w:rsidRPr="00D136F8">
        <w:rPr>
          <w:rFonts w:cs="Calibri"/>
          <w:lang w:eastAsia="en-AU"/>
        </w:rPr>
        <w:t>congestion at the NDR</w:t>
      </w:r>
      <w:r w:rsidR="00D136F8" w:rsidRPr="00D136F8">
        <w:rPr>
          <w:rFonts w:cs="Calibri"/>
          <w:lang w:eastAsia="en-AU"/>
        </w:rPr>
        <w:t>/Farrell Rd</w:t>
      </w:r>
      <w:r w:rsidRPr="00D136F8">
        <w:rPr>
          <w:rFonts w:cs="Calibri"/>
          <w:lang w:eastAsia="en-AU"/>
        </w:rPr>
        <w:t xml:space="preserve"> intersection.</w:t>
      </w:r>
    </w:p>
    <w:p w:rsidR="00F0292E" w:rsidRDefault="00CD1BAB" w:rsidP="00A80357">
      <w:pPr>
        <w:autoSpaceDE w:val="0"/>
        <w:autoSpaceDN w:val="0"/>
        <w:adjustRightInd w:val="0"/>
        <w:spacing w:before="0" w:after="120"/>
        <w:rPr>
          <w:rFonts w:cs="Calibri"/>
          <w:lang w:eastAsia="en-AU"/>
        </w:rPr>
      </w:pPr>
      <w:r>
        <w:rPr>
          <w:rFonts w:cs="Calibri"/>
          <w:lang w:eastAsia="en-AU"/>
        </w:rPr>
        <w:t>Given the above history of development on and around Telopea Way and the continued</w:t>
      </w:r>
      <w:r w:rsidR="00F16523">
        <w:rPr>
          <w:rFonts w:cs="Calibri"/>
          <w:lang w:eastAsia="en-AU"/>
        </w:rPr>
        <w:t xml:space="preserve"> </w:t>
      </w:r>
      <w:r>
        <w:rPr>
          <w:rFonts w:cs="Calibri"/>
          <w:lang w:eastAsia="en-AU"/>
        </w:rPr>
        <w:t>growth of North Orange, there is considered to be scope for some level of expansion.</w:t>
      </w:r>
      <w:r w:rsidR="00F16523">
        <w:rPr>
          <w:rFonts w:cs="Calibri"/>
          <w:lang w:eastAsia="en-AU"/>
        </w:rPr>
        <w:t xml:space="preserve"> </w:t>
      </w:r>
      <w:r>
        <w:rPr>
          <w:rFonts w:cs="Calibri"/>
          <w:lang w:eastAsia="en-AU"/>
        </w:rPr>
        <w:t>Community concern relating to traffic in this area is considerable</w:t>
      </w:r>
      <w:r w:rsidR="00F0292E">
        <w:rPr>
          <w:rFonts w:cs="Calibri"/>
          <w:lang w:eastAsia="en-AU"/>
        </w:rPr>
        <w:t>.</w:t>
      </w:r>
    </w:p>
    <w:p w:rsidR="00097080" w:rsidRDefault="00097080">
      <w:pPr>
        <w:spacing w:before="0"/>
        <w:jc w:val="left"/>
        <w:rPr>
          <w:rFonts w:cs="Calibri"/>
          <w:lang w:eastAsia="en-AU"/>
        </w:rPr>
      </w:pPr>
      <w:r>
        <w:rPr>
          <w:rFonts w:cs="Calibri"/>
          <w:lang w:eastAsia="en-AU"/>
        </w:rPr>
        <w:br w:type="page"/>
      </w:r>
    </w:p>
    <w:p w:rsidR="00CD1BAB" w:rsidRDefault="00F0292E" w:rsidP="00A80357">
      <w:pPr>
        <w:autoSpaceDE w:val="0"/>
        <w:autoSpaceDN w:val="0"/>
        <w:adjustRightInd w:val="0"/>
        <w:spacing w:before="0" w:after="120"/>
        <w:rPr>
          <w:rFonts w:cs="Calibri"/>
          <w:lang w:eastAsia="en-AU"/>
        </w:rPr>
      </w:pPr>
      <w:r>
        <w:rPr>
          <w:rFonts w:cs="Calibri"/>
          <w:lang w:eastAsia="en-AU"/>
        </w:rPr>
        <w:t>A</w:t>
      </w:r>
      <w:r w:rsidR="00CD1BAB">
        <w:rPr>
          <w:rFonts w:cs="Calibri"/>
          <w:lang w:eastAsia="en-AU"/>
        </w:rPr>
        <w:t>n out of centre shopping precinct in North Orange</w:t>
      </w:r>
      <w:r w:rsidR="00F16523">
        <w:rPr>
          <w:rFonts w:cs="Calibri"/>
          <w:lang w:eastAsia="en-AU"/>
        </w:rPr>
        <w:t xml:space="preserve"> </w:t>
      </w:r>
      <w:r w:rsidR="00CD1BAB">
        <w:rPr>
          <w:rFonts w:cs="Calibri"/>
          <w:lang w:eastAsia="en-AU"/>
        </w:rPr>
        <w:t xml:space="preserve">was </w:t>
      </w:r>
      <w:r>
        <w:rPr>
          <w:rFonts w:cs="Calibri"/>
          <w:lang w:eastAsia="en-AU"/>
        </w:rPr>
        <w:t xml:space="preserve">found to be </w:t>
      </w:r>
      <w:r w:rsidR="00CD1BAB">
        <w:rPr>
          <w:rFonts w:cs="Calibri"/>
          <w:lang w:eastAsia="en-AU"/>
        </w:rPr>
        <w:t xml:space="preserve">appropriate </w:t>
      </w:r>
      <w:r w:rsidR="00B91E19">
        <w:rPr>
          <w:rFonts w:cs="Calibri"/>
          <w:lang w:eastAsia="en-AU"/>
        </w:rPr>
        <w:t>in</w:t>
      </w:r>
      <w:r>
        <w:rPr>
          <w:rFonts w:cs="Calibri"/>
          <w:lang w:eastAsia="en-AU"/>
        </w:rPr>
        <w:t xml:space="preserve"> the </w:t>
      </w:r>
      <w:r w:rsidR="00071AE8">
        <w:rPr>
          <w:rFonts w:cs="Calibri"/>
          <w:lang w:eastAsia="en-AU"/>
        </w:rPr>
        <w:t>B</w:t>
      </w:r>
      <w:r>
        <w:rPr>
          <w:rFonts w:cs="Calibri"/>
          <w:lang w:eastAsia="en-AU"/>
        </w:rPr>
        <w:t xml:space="preserve">usiness </w:t>
      </w:r>
      <w:r w:rsidR="00071AE8">
        <w:rPr>
          <w:rFonts w:cs="Calibri"/>
          <w:lang w:eastAsia="en-AU"/>
        </w:rPr>
        <w:t>C</w:t>
      </w:r>
      <w:r>
        <w:rPr>
          <w:rFonts w:cs="Calibri"/>
          <w:lang w:eastAsia="en-AU"/>
        </w:rPr>
        <w:t xml:space="preserve">entre </w:t>
      </w:r>
      <w:r w:rsidR="00071AE8">
        <w:rPr>
          <w:rFonts w:cs="Calibri"/>
          <w:lang w:eastAsia="en-AU"/>
        </w:rPr>
        <w:t>R</w:t>
      </w:r>
      <w:r>
        <w:rPr>
          <w:rFonts w:cs="Calibri"/>
          <w:lang w:eastAsia="en-AU"/>
        </w:rPr>
        <w:t xml:space="preserve">eview </w:t>
      </w:r>
      <w:r w:rsidR="00071AE8">
        <w:rPr>
          <w:rFonts w:cs="Calibri"/>
          <w:lang w:eastAsia="en-AU"/>
        </w:rPr>
        <w:t>S</w:t>
      </w:r>
      <w:r>
        <w:rPr>
          <w:rFonts w:cs="Calibri"/>
          <w:lang w:eastAsia="en-AU"/>
        </w:rPr>
        <w:t>trategy</w:t>
      </w:r>
      <w:r w:rsidR="00071AE8">
        <w:rPr>
          <w:rFonts w:cs="Calibri"/>
          <w:lang w:eastAsia="en-AU"/>
        </w:rPr>
        <w:t xml:space="preserve">. </w:t>
      </w:r>
      <w:r>
        <w:rPr>
          <w:rFonts w:cs="Calibri"/>
          <w:lang w:eastAsia="en-AU"/>
        </w:rPr>
        <w:t>Th</w:t>
      </w:r>
      <w:r w:rsidR="00B91E19">
        <w:rPr>
          <w:rFonts w:cs="Calibri"/>
          <w:lang w:eastAsia="en-AU"/>
        </w:rPr>
        <w:t>e S</w:t>
      </w:r>
      <w:r>
        <w:rPr>
          <w:rFonts w:cs="Calibri"/>
          <w:lang w:eastAsia="en-AU"/>
        </w:rPr>
        <w:t xml:space="preserve">trategy </w:t>
      </w:r>
      <w:r w:rsidR="00CD1BAB">
        <w:rPr>
          <w:rFonts w:cs="Calibri"/>
          <w:lang w:eastAsia="en-AU"/>
        </w:rPr>
        <w:t>identif</w:t>
      </w:r>
      <w:r>
        <w:rPr>
          <w:rFonts w:cs="Calibri"/>
          <w:lang w:eastAsia="en-AU"/>
        </w:rPr>
        <w:t xml:space="preserve">ied </w:t>
      </w:r>
      <w:r w:rsidR="00CD1BAB">
        <w:rPr>
          <w:rFonts w:cs="Calibri"/>
          <w:lang w:eastAsia="en-AU"/>
        </w:rPr>
        <w:t>the appropriate scale for the centre, both in terms of</w:t>
      </w:r>
      <w:r w:rsidR="00F16523">
        <w:rPr>
          <w:rFonts w:cs="Calibri"/>
          <w:lang w:eastAsia="en-AU"/>
        </w:rPr>
        <w:t xml:space="preserve"> </w:t>
      </w:r>
      <w:r w:rsidR="00CD1BAB">
        <w:rPr>
          <w:rFonts w:cs="Calibri"/>
          <w:lang w:eastAsia="en-AU"/>
        </w:rPr>
        <w:t>meeting the needs of local residents and also protecting the overall trading performance of</w:t>
      </w:r>
      <w:r w:rsidR="00F16523">
        <w:rPr>
          <w:rFonts w:cs="Calibri"/>
          <w:lang w:eastAsia="en-AU"/>
        </w:rPr>
        <w:t xml:space="preserve"> </w:t>
      </w:r>
      <w:r w:rsidR="00CD1BAB">
        <w:rPr>
          <w:rFonts w:cs="Calibri"/>
          <w:lang w:eastAsia="en-AU"/>
        </w:rPr>
        <w:t>the CBD.</w:t>
      </w:r>
      <w:r>
        <w:rPr>
          <w:rFonts w:cs="Calibri"/>
          <w:lang w:eastAsia="en-AU"/>
        </w:rPr>
        <w:t xml:space="preserve"> The current proposal has been reviewed by </w:t>
      </w:r>
      <w:r w:rsidR="00B91E19">
        <w:rPr>
          <w:rFonts w:cs="Calibri"/>
          <w:lang w:eastAsia="en-AU"/>
        </w:rPr>
        <w:t xml:space="preserve">the consultant who prepared the Business Centre Review Strategy, Peter </w:t>
      </w:r>
      <w:proofErr w:type="spellStart"/>
      <w:r>
        <w:rPr>
          <w:rFonts w:cs="Calibri"/>
          <w:lang w:eastAsia="en-AU"/>
        </w:rPr>
        <w:t>Leyshon</w:t>
      </w:r>
      <w:proofErr w:type="spellEnd"/>
      <w:r>
        <w:rPr>
          <w:rFonts w:cs="Calibri"/>
          <w:lang w:eastAsia="en-AU"/>
        </w:rPr>
        <w:t xml:space="preserve"> to ascertain how, given the passage of time and population growth, it would relate to the overall Orange economy and CBD impacts.</w:t>
      </w:r>
    </w:p>
    <w:p w:rsidR="00303427" w:rsidRPr="00303427" w:rsidRDefault="00CD1BAB" w:rsidP="00303427">
      <w:pPr>
        <w:autoSpaceDE w:val="0"/>
        <w:autoSpaceDN w:val="0"/>
        <w:adjustRightInd w:val="0"/>
        <w:spacing w:before="0" w:after="120"/>
        <w:rPr>
          <w:rFonts w:cs="Calibri"/>
          <w:lang w:eastAsia="en-AU"/>
        </w:rPr>
      </w:pPr>
      <w:proofErr w:type="spellStart"/>
      <w:r w:rsidRPr="00303427">
        <w:rPr>
          <w:rFonts w:cs="Calibri"/>
          <w:lang w:eastAsia="en-AU"/>
        </w:rPr>
        <w:t>Leyshon’s</w:t>
      </w:r>
      <w:proofErr w:type="spellEnd"/>
      <w:r w:rsidRPr="00303427">
        <w:rPr>
          <w:rFonts w:cs="Calibri"/>
          <w:lang w:eastAsia="en-AU"/>
        </w:rPr>
        <w:t xml:space="preserve"> review of the </w:t>
      </w:r>
      <w:r w:rsidR="00F0292E" w:rsidRPr="00303427">
        <w:rPr>
          <w:rFonts w:cs="Calibri"/>
          <w:lang w:eastAsia="en-AU"/>
        </w:rPr>
        <w:t xml:space="preserve">SCA </w:t>
      </w:r>
      <w:r w:rsidRPr="00303427">
        <w:rPr>
          <w:rFonts w:cs="Calibri"/>
          <w:lang w:eastAsia="en-AU"/>
        </w:rPr>
        <w:t>economic case is attached to this report. The main findings can be</w:t>
      </w:r>
      <w:r w:rsidR="00F16523" w:rsidRPr="00303427">
        <w:rPr>
          <w:rFonts w:cs="Calibri"/>
          <w:lang w:eastAsia="en-AU"/>
        </w:rPr>
        <w:t xml:space="preserve"> </w:t>
      </w:r>
      <w:r w:rsidRPr="00303427">
        <w:rPr>
          <w:rFonts w:cs="Calibri"/>
          <w:lang w:eastAsia="en-AU"/>
        </w:rPr>
        <w:t xml:space="preserve">summarised as not supporting the extent of floor space </w:t>
      </w:r>
      <w:r w:rsidR="00303427" w:rsidRPr="00303427">
        <w:rPr>
          <w:rFonts w:cs="Calibri"/>
          <w:lang w:eastAsia="en-AU"/>
        </w:rPr>
        <w:t>originally</w:t>
      </w:r>
      <w:r w:rsidRPr="00303427">
        <w:rPr>
          <w:rFonts w:cs="Calibri"/>
          <w:lang w:eastAsia="en-AU"/>
        </w:rPr>
        <w:t xml:space="preserve"> sought in the short term, but</w:t>
      </w:r>
      <w:r w:rsidR="00F16523" w:rsidRPr="00303427">
        <w:rPr>
          <w:rFonts w:cs="Calibri"/>
          <w:lang w:eastAsia="en-AU"/>
        </w:rPr>
        <w:t xml:space="preserve"> </w:t>
      </w:r>
      <w:r w:rsidRPr="00303427">
        <w:rPr>
          <w:rFonts w:cs="Calibri"/>
          <w:lang w:eastAsia="en-AU"/>
        </w:rPr>
        <w:t>recognising that there may be a case f</w:t>
      </w:r>
      <w:r w:rsidR="00303427" w:rsidRPr="00303427">
        <w:rPr>
          <w:rFonts w:cs="Calibri"/>
          <w:lang w:eastAsia="en-AU"/>
        </w:rPr>
        <w:t>or a more modest expansion. The full proposal of two full line supermarkets and a mini-supermarket would not be justifiable until 2028. With regard to the revised proposal of one full line supermarket, one mini-supermarket and 800m</w:t>
      </w:r>
      <w:r w:rsidR="00303427" w:rsidRPr="007337C9">
        <w:rPr>
          <w:rFonts w:cs="Calibri"/>
          <w:lang w:eastAsia="en-AU"/>
        </w:rPr>
        <w:t>2</w:t>
      </w:r>
      <w:r w:rsidR="00303427" w:rsidRPr="00303427">
        <w:rPr>
          <w:rFonts w:cs="Calibri"/>
          <w:lang w:eastAsia="en-AU"/>
        </w:rPr>
        <w:t xml:space="preserve"> specialty shops </w:t>
      </w:r>
      <w:proofErr w:type="spellStart"/>
      <w:r w:rsidR="00303427" w:rsidRPr="00303427">
        <w:rPr>
          <w:rFonts w:cs="Calibri"/>
          <w:lang w:eastAsia="en-AU"/>
        </w:rPr>
        <w:t>Leyshon</w:t>
      </w:r>
      <w:proofErr w:type="spellEnd"/>
      <w:r w:rsidR="00303427" w:rsidRPr="00303427">
        <w:rPr>
          <w:rFonts w:cs="Calibri"/>
          <w:lang w:eastAsia="en-AU"/>
        </w:rPr>
        <w:t xml:space="preserve"> states:</w:t>
      </w:r>
    </w:p>
    <w:p w:rsidR="00CD1BAB" w:rsidRDefault="00303427" w:rsidP="00303427">
      <w:pPr>
        <w:autoSpaceDE w:val="0"/>
        <w:autoSpaceDN w:val="0"/>
        <w:adjustRightInd w:val="0"/>
        <w:spacing w:before="0" w:after="120"/>
        <w:ind w:left="567"/>
        <w:rPr>
          <w:rFonts w:ascii="Calibri,Italic" w:hAnsi="Calibri,Italic" w:cs="Calibri,Italic"/>
          <w:i/>
          <w:iCs/>
          <w:lang w:eastAsia="en-AU"/>
        </w:rPr>
      </w:pPr>
      <w:r w:rsidRPr="00303427">
        <w:rPr>
          <w:rFonts w:cs="Calibri"/>
          <w:i/>
          <w:lang w:eastAsia="en-AU"/>
        </w:rPr>
        <w:t>“</w:t>
      </w:r>
      <w:proofErr w:type="gramStart"/>
      <w:r w:rsidRPr="00303427">
        <w:rPr>
          <w:rFonts w:cs="Calibri"/>
          <w:i/>
          <w:lang w:eastAsia="en-AU"/>
        </w:rPr>
        <w:t>the</w:t>
      </w:r>
      <w:proofErr w:type="gramEnd"/>
      <w:r w:rsidRPr="00303427">
        <w:rPr>
          <w:rFonts w:cs="Calibri"/>
          <w:i/>
          <w:lang w:eastAsia="en-AU"/>
        </w:rPr>
        <w:t xml:space="preserve"> proposed expansion of the North Orange centre is considered to be reasonable from my perspective. The proposed addition of specialty retail </w:t>
      </w:r>
      <w:proofErr w:type="spellStart"/>
      <w:r w:rsidRPr="00303427">
        <w:rPr>
          <w:rFonts w:cs="Calibri"/>
          <w:i/>
          <w:lang w:eastAsia="en-AU"/>
        </w:rPr>
        <w:t>floorspace</w:t>
      </w:r>
      <w:proofErr w:type="spellEnd"/>
      <w:r w:rsidRPr="00303427">
        <w:rPr>
          <w:rFonts w:cs="Calibri"/>
          <w:i/>
          <w:lang w:eastAsia="en-AU"/>
        </w:rPr>
        <w:t xml:space="preserve"> (800 m2) will result in 8 – 10 businesses being added to the centre. Not all of these businesses will be retail in nature, however. I do not consider that the proposed addition of the specialty retail will alter the role of the North Orange centre or pose an undue threat to the Orange CBD. The proposed expansion of Woolworths, and the addition of Aldi, are considered to be consistent with the demand estimates for supermarket </w:t>
      </w:r>
      <w:proofErr w:type="spellStart"/>
      <w:r w:rsidRPr="00303427">
        <w:rPr>
          <w:rFonts w:cs="Calibri"/>
          <w:i/>
          <w:lang w:eastAsia="en-AU"/>
        </w:rPr>
        <w:t>floorspace</w:t>
      </w:r>
      <w:proofErr w:type="spellEnd"/>
      <w:r w:rsidRPr="00303427">
        <w:rPr>
          <w:rFonts w:cs="Calibri"/>
          <w:i/>
          <w:lang w:eastAsia="en-AU"/>
        </w:rPr>
        <w:t xml:space="preserve"> in the trade area of the North Orange centre.”</w:t>
      </w:r>
      <w:r w:rsidRPr="00303427">
        <w:rPr>
          <w:rFonts w:cs="Calibri"/>
          <w:lang w:eastAsia="en-AU"/>
        </w:rPr>
        <w:t xml:space="preserve"> </w:t>
      </w:r>
    </w:p>
    <w:p w:rsidR="00147741" w:rsidRDefault="00147741" w:rsidP="00CD1BAB">
      <w:pPr>
        <w:autoSpaceDE w:val="0"/>
        <w:autoSpaceDN w:val="0"/>
        <w:adjustRightInd w:val="0"/>
        <w:spacing w:before="0"/>
        <w:jc w:val="left"/>
        <w:rPr>
          <w:rFonts w:ascii="Calibri,Bold" w:hAnsi="Calibri,Bold" w:cs="Calibri,Bold"/>
          <w:b/>
          <w:bCs/>
          <w:lang w:eastAsia="en-AU"/>
        </w:rPr>
      </w:pPr>
    </w:p>
    <w:p w:rsidR="00CD1BAB" w:rsidRPr="00500791" w:rsidRDefault="00490CCB" w:rsidP="00CD1BAB">
      <w:pPr>
        <w:autoSpaceDE w:val="0"/>
        <w:autoSpaceDN w:val="0"/>
        <w:adjustRightInd w:val="0"/>
        <w:spacing w:before="0"/>
        <w:jc w:val="left"/>
        <w:rPr>
          <w:rFonts w:asciiTheme="minorHAnsi" w:hAnsiTheme="minorHAnsi" w:cs="Calibri,Bold"/>
          <w:b/>
          <w:bCs/>
          <w:lang w:eastAsia="en-AU"/>
        </w:rPr>
      </w:pPr>
      <w:r w:rsidRPr="00500791">
        <w:rPr>
          <w:rFonts w:asciiTheme="minorHAnsi" w:hAnsiTheme="minorHAnsi" w:cs="Calibri,Bold"/>
          <w:b/>
          <w:bCs/>
          <w:lang w:eastAsia="en-AU"/>
        </w:rPr>
        <w:t>CBD implications</w:t>
      </w:r>
    </w:p>
    <w:p w:rsidR="00F16523" w:rsidRDefault="00CD1BAB" w:rsidP="00F0292E">
      <w:pPr>
        <w:autoSpaceDE w:val="0"/>
        <w:autoSpaceDN w:val="0"/>
        <w:adjustRightInd w:val="0"/>
        <w:spacing w:before="0" w:after="120"/>
        <w:rPr>
          <w:rFonts w:cs="Calibri"/>
          <w:lang w:eastAsia="en-AU"/>
        </w:rPr>
      </w:pPr>
      <w:r>
        <w:rPr>
          <w:rFonts w:cs="Calibri"/>
          <w:lang w:eastAsia="en-AU"/>
        </w:rPr>
        <w:t>Since the opening of the North Orange shopping centre, the occupancy rate of commercial</w:t>
      </w:r>
      <w:r w:rsidR="00F16523">
        <w:rPr>
          <w:rFonts w:cs="Calibri"/>
          <w:lang w:eastAsia="en-AU"/>
        </w:rPr>
        <w:t xml:space="preserve"> </w:t>
      </w:r>
      <w:r>
        <w:rPr>
          <w:rFonts w:cs="Calibri"/>
          <w:lang w:eastAsia="en-AU"/>
        </w:rPr>
        <w:t>premises in the CBD has not appreciably changed. The level of vacant premises pre and post</w:t>
      </w:r>
      <w:r w:rsidR="00F16523">
        <w:rPr>
          <w:rFonts w:cs="Calibri"/>
          <w:lang w:eastAsia="en-AU"/>
        </w:rPr>
        <w:t xml:space="preserve"> </w:t>
      </w:r>
      <w:r>
        <w:rPr>
          <w:rFonts w:cs="Calibri"/>
          <w:lang w:eastAsia="en-AU"/>
        </w:rPr>
        <w:t>North Orange opening is anecdotally consistent. This does not mean that trading</w:t>
      </w:r>
      <w:r w:rsidR="00F16523">
        <w:rPr>
          <w:rFonts w:cs="Calibri"/>
          <w:lang w:eastAsia="en-AU"/>
        </w:rPr>
        <w:t xml:space="preserve"> </w:t>
      </w:r>
      <w:r>
        <w:rPr>
          <w:rFonts w:cs="Calibri"/>
          <w:lang w:eastAsia="en-AU"/>
        </w:rPr>
        <w:t>performance or profitability of CBD businesses has been unaffected.</w:t>
      </w:r>
      <w:r w:rsidR="00F16523">
        <w:rPr>
          <w:rFonts w:cs="Calibri"/>
          <w:lang w:eastAsia="en-AU"/>
        </w:rPr>
        <w:t xml:space="preserve"> </w:t>
      </w:r>
    </w:p>
    <w:p w:rsidR="00CD1BAB" w:rsidRDefault="00CD1BAB" w:rsidP="00F0292E">
      <w:pPr>
        <w:autoSpaceDE w:val="0"/>
        <w:autoSpaceDN w:val="0"/>
        <w:adjustRightInd w:val="0"/>
        <w:spacing w:before="0" w:after="120"/>
        <w:rPr>
          <w:rFonts w:cs="Calibri"/>
          <w:lang w:eastAsia="en-AU"/>
        </w:rPr>
      </w:pPr>
      <w:r>
        <w:rPr>
          <w:rFonts w:cs="Calibri"/>
          <w:lang w:eastAsia="en-AU"/>
        </w:rPr>
        <w:t>Doubtless some have seen a portion of their trade lost, however such effects are difficult to</w:t>
      </w:r>
      <w:r w:rsidR="00F16523">
        <w:rPr>
          <w:rFonts w:cs="Calibri"/>
          <w:lang w:eastAsia="en-AU"/>
        </w:rPr>
        <w:t xml:space="preserve"> </w:t>
      </w:r>
      <w:r>
        <w:rPr>
          <w:rFonts w:cs="Calibri"/>
          <w:lang w:eastAsia="en-AU"/>
        </w:rPr>
        <w:t xml:space="preserve">distinguish from other causal factors such as the transition of the </w:t>
      </w:r>
      <w:proofErr w:type="spellStart"/>
      <w:r>
        <w:rPr>
          <w:rFonts w:cs="Calibri"/>
          <w:lang w:eastAsia="en-AU"/>
        </w:rPr>
        <w:t>Cadia</w:t>
      </w:r>
      <w:proofErr w:type="spellEnd"/>
      <w:r>
        <w:rPr>
          <w:rFonts w:cs="Calibri"/>
          <w:lang w:eastAsia="en-AU"/>
        </w:rPr>
        <w:t xml:space="preserve"> East mine from</w:t>
      </w:r>
      <w:r w:rsidR="00F16523">
        <w:rPr>
          <w:rFonts w:cs="Calibri"/>
          <w:lang w:eastAsia="en-AU"/>
        </w:rPr>
        <w:t xml:space="preserve"> </w:t>
      </w:r>
      <w:r>
        <w:rPr>
          <w:rFonts w:cs="Calibri"/>
          <w:lang w:eastAsia="en-AU"/>
        </w:rPr>
        <w:t>construction to operational phases, and more general or macro-economic conditions.</w:t>
      </w:r>
      <w:r w:rsidR="00F16523">
        <w:rPr>
          <w:rFonts w:cs="Calibri"/>
          <w:lang w:eastAsia="en-AU"/>
        </w:rPr>
        <w:t xml:space="preserve"> </w:t>
      </w:r>
      <w:r w:rsidR="00F0292E">
        <w:rPr>
          <w:rFonts w:cs="Calibri"/>
          <w:lang w:eastAsia="en-AU"/>
        </w:rPr>
        <w:t xml:space="preserve">While the full effect on the CBD </w:t>
      </w:r>
      <w:r>
        <w:rPr>
          <w:rFonts w:cs="Calibri"/>
          <w:lang w:eastAsia="en-AU"/>
        </w:rPr>
        <w:t>is not certain, the precautionary principle would suggest</w:t>
      </w:r>
      <w:r w:rsidR="00F16523">
        <w:rPr>
          <w:rFonts w:cs="Calibri"/>
          <w:lang w:eastAsia="en-AU"/>
        </w:rPr>
        <w:t xml:space="preserve"> </w:t>
      </w:r>
      <w:r>
        <w:rPr>
          <w:rFonts w:cs="Calibri"/>
          <w:lang w:eastAsia="en-AU"/>
        </w:rPr>
        <w:t>that a more modest expansion</w:t>
      </w:r>
      <w:r w:rsidR="00F0292E">
        <w:rPr>
          <w:rFonts w:cs="Calibri"/>
          <w:lang w:eastAsia="en-AU"/>
        </w:rPr>
        <w:t>, or a staging over time of the expansion,</w:t>
      </w:r>
      <w:r>
        <w:rPr>
          <w:rFonts w:cs="Calibri"/>
          <w:lang w:eastAsia="en-AU"/>
        </w:rPr>
        <w:t xml:space="preserve"> be contemplated.</w:t>
      </w:r>
    </w:p>
    <w:p w:rsidR="00CD1BAB" w:rsidRDefault="00CD1BAB" w:rsidP="00F0292E">
      <w:pPr>
        <w:autoSpaceDE w:val="0"/>
        <w:autoSpaceDN w:val="0"/>
        <w:adjustRightInd w:val="0"/>
        <w:spacing w:before="0" w:after="120"/>
        <w:rPr>
          <w:rFonts w:cs="Calibri"/>
          <w:lang w:eastAsia="en-AU"/>
        </w:rPr>
      </w:pPr>
      <w:r>
        <w:rPr>
          <w:rFonts w:cs="Calibri"/>
          <w:lang w:eastAsia="en-AU"/>
        </w:rPr>
        <w:t>The significance and role of the CBD as the primary trading centre in the central west should</w:t>
      </w:r>
      <w:r w:rsidR="00F16523">
        <w:rPr>
          <w:rFonts w:cs="Calibri"/>
          <w:lang w:eastAsia="en-AU"/>
        </w:rPr>
        <w:t xml:space="preserve"> </w:t>
      </w:r>
      <w:r>
        <w:rPr>
          <w:rFonts w:cs="Calibri"/>
          <w:lang w:eastAsia="en-AU"/>
        </w:rPr>
        <w:t>not be taken for granted. Should the CBD performance decline or even just stagnate there is</w:t>
      </w:r>
      <w:r w:rsidR="00F16523">
        <w:rPr>
          <w:rFonts w:cs="Calibri"/>
          <w:lang w:eastAsia="en-AU"/>
        </w:rPr>
        <w:t xml:space="preserve"> </w:t>
      </w:r>
      <w:r>
        <w:rPr>
          <w:rFonts w:cs="Calibri"/>
          <w:lang w:eastAsia="en-AU"/>
        </w:rPr>
        <w:t>potential for the outer edges of the catchment (e.g. Blayney, Molong, Canowindra and the</w:t>
      </w:r>
      <w:r w:rsidR="00F16523">
        <w:rPr>
          <w:rFonts w:cs="Calibri"/>
          <w:lang w:eastAsia="en-AU"/>
        </w:rPr>
        <w:t xml:space="preserve"> </w:t>
      </w:r>
      <w:r>
        <w:rPr>
          <w:rFonts w:cs="Calibri"/>
          <w:lang w:eastAsia="en-AU"/>
        </w:rPr>
        <w:t>like) to begin to look towards other regional centres for their higher order shopping.</w:t>
      </w:r>
    </w:p>
    <w:p w:rsidR="00CD1BAB" w:rsidRDefault="00CD1BAB" w:rsidP="00F0292E">
      <w:pPr>
        <w:autoSpaceDE w:val="0"/>
        <w:autoSpaceDN w:val="0"/>
        <w:adjustRightInd w:val="0"/>
        <w:spacing w:before="0" w:after="120"/>
        <w:rPr>
          <w:rFonts w:cs="Calibri"/>
          <w:lang w:eastAsia="en-AU"/>
        </w:rPr>
      </w:pPr>
      <w:r>
        <w:rPr>
          <w:rFonts w:cs="Calibri"/>
          <w:lang w:eastAsia="en-AU"/>
        </w:rPr>
        <w:t>The eastern edges of the catchment may turn more towards Bathurst, with the</w:t>
      </w:r>
      <w:r w:rsidR="00F16523">
        <w:rPr>
          <w:rFonts w:cs="Calibri"/>
          <w:lang w:eastAsia="en-AU"/>
        </w:rPr>
        <w:t xml:space="preserve"> </w:t>
      </w:r>
      <w:r>
        <w:rPr>
          <w:rFonts w:cs="Calibri"/>
          <w:lang w:eastAsia="en-AU"/>
        </w:rPr>
        <w:t>north-western edges potentially looking towards Dubbo, albeit at a greater distance. It is</w:t>
      </w:r>
      <w:r w:rsidR="00F16523">
        <w:rPr>
          <w:rFonts w:cs="Calibri"/>
          <w:lang w:eastAsia="en-AU"/>
        </w:rPr>
        <w:t xml:space="preserve"> </w:t>
      </w:r>
      <w:r>
        <w:rPr>
          <w:rFonts w:cs="Calibri"/>
          <w:lang w:eastAsia="en-AU"/>
        </w:rPr>
        <w:t>likely that any such changes in shopping patterns would initially be small and difficult to</w:t>
      </w:r>
      <w:r w:rsidR="00F16523">
        <w:rPr>
          <w:rFonts w:cs="Calibri"/>
          <w:lang w:eastAsia="en-AU"/>
        </w:rPr>
        <w:t xml:space="preserve"> </w:t>
      </w:r>
      <w:r>
        <w:rPr>
          <w:rFonts w:cs="Calibri"/>
          <w:lang w:eastAsia="en-AU"/>
        </w:rPr>
        <w:t>measure. However, settlement patterns in Australia since the 1960s have been known to</w:t>
      </w:r>
      <w:r w:rsidR="00F16523">
        <w:rPr>
          <w:rFonts w:cs="Calibri"/>
          <w:lang w:eastAsia="en-AU"/>
        </w:rPr>
        <w:t xml:space="preserve"> </w:t>
      </w:r>
      <w:r>
        <w:rPr>
          <w:rFonts w:cs="Calibri"/>
          <w:lang w:eastAsia="en-AU"/>
        </w:rPr>
        <w:t>exhibit a very high level of “primacy” compared to other developed nations.</w:t>
      </w:r>
    </w:p>
    <w:p w:rsidR="00CD1BAB" w:rsidRDefault="00CD1BAB" w:rsidP="00F0292E">
      <w:pPr>
        <w:autoSpaceDE w:val="0"/>
        <w:autoSpaceDN w:val="0"/>
        <w:adjustRightInd w:val="0"/>
        <w:spacing w:before="0" w:after="120"/>
        <w:rPr>
          <w:rFonts w:cs="Calibri"/>
          <w:lang w:eastAsia="en-AU"/>
        </w:rPr>
      </w:pPr>
      <w:r>
        <w:rPr>
          <w:rFonts w:cs="Calibri"/>
          <w:lang w:eastAsia="en-AU"/>
        </w:rPr>
        <w:t>In this context, primacy refers to the tendency for population, trade and development to</w:t>
      </w:r>
      <w:r w:rsidR="00F16523">
        <w:rPr>
          <w:rFonts w:cs="Calibri"/>
          <w:lang w:eastAsia="en-AU"/>
        </w:rPr>
        <w:t xml:space="preserve"> </w:t>
      </w:r>
      <w:r>
        <w:rPr>
          <w:rFonts w:cs="Calibri"/>
          <w:lang w:eastAsia="en-AU"/>
        </w:rPr>
        <w:t>concentrate in one location or city where all higher order activities for the region occur, and</w:t>
      </w:r>
      <w:r w:rsidR="00F16523">
        <w:rPr>
          <w:rFonts w:cs="Calibri"/>
          <w:lang w:eastAsia="en-AU"/>
        </w:rPr>
        <w:t xml:space="preserve"> </w:t>
      </w:r>
      <w:r>
        <w:rPr>
          <w:rFonts w:cs="Calibri"/>
          <w:lang w:eastAsia="en-AU"/>
        </w:rPr>
        <w:t>for surrounding population centres to be diminished in scale, providing only lower order</w:t>
      </w:r>
      <w:r w:rsidR="00F16523">
        <w:rPr>
          <w:rFonts w:cs="Calibri"/>
          <w:lang w:eastAsia="en-AU"/>
        </w:rPr>
        <w:t xml:space="preserve"> </w:t>
      </w:r>
      <w:r>
        <w:rPr>
          <w:rFonts w:cs="Calibri"/>
          <w:lang w:eastAsia="en-AU"/>
        </w:rPr>
        <w:t>goods and services. Primacy occurs around the developed world, but is particularly</w:t>
      </w:r>
      <w:r w:rsidR="00F16523">
        <w:rPr>
          <w:rFonts w:cs="Calibri"/>
          <w:lang w:eastAsia="en-AU"/>
        </w:rPr>
        <w:t xml:space="preserve"> </w:t>
      </w:r>
      <w:r>
        <w:rPr>
          <w:rFonts w:cs="Calibri"/>
          <w:lang w:eastAsia="en-AU"/>
        </w:rPr>
        <w:t>pronounced in Australia.</w:t>
      </w:r>
    </w:p>
    <w:p w:rsidR="00CD1BAB" w:rsidRDefault="00CD1BAB" w:rsidP="00F0292E">
      <w:pPr>
        <w:autoSpaceDE w:val="0"/>
        <w:autoSpaceDN w:val="0"/>
        <w:adjustRightInd w:val="0"/>
        <w:spacing w:before="0" w:after="120"/>
        <w:rPr>
          <w:rFonts w:cs="Calibri"/>
          <w:lang w:eastAsia="en-AU"/>
        </w:rPr>
      </w:pPr>
      <w:r>
        <w:rPr>
          <w:rFonts w:cs="Calibri"/>
          <w:lang w:eastAsia="en-AU"/>
        </w:rPr>
        <w:t>In our local context the Orange-Bathurst combination stands out as an exception to the</w:t>
      </w:r>
      <w:r w:rsidR="00F16523">
        <w:rPr>
          <w:rFonts w:cs="Calibri"/>
          <w:lang w:eastAsia="en-AU"/>
        </w:rPr>
        <w:t xml:space="preserve"> </w:t>
      </w:r>
      <w:r>
        <w:rPr>
          <w:rFonts w:cs="Calibri"/>
          <w:lang w:eastAsia="en-AU"/>
        </w:rPr>
        <w:t>primacy norm in that while being in close proximity, neither centre has significantly</w:t>
      </w:r>
      <w:r w:rsidR="00F16523">
        <w:rPr>
          <w:rFonts w:cs="Calibri"/>
          <w:lang w:eastAsia="en-AU"/>
        </w:rPr>
        <w:t xml:space="preserve"> </w:t>
      </w:r>
      <w:r>
        <w:rPr>
          <w:rFonts w:cs="Calibri"/>
          <w:lang w:eastAsia="en-AU"/>
        </w:rPr>
        <w:t>outshone the other. This should not be interpreted to mean that the primacy effect does</w:t>
      </w:r>
      <w:r w:rsidR="00F16523">
        <w:rPr>
          <w:rFonts w:cs="Calibri"/>
          <w:lang w:eastAsia="en-AU"/>
        </w:rPr>
        <w:t xml:space="preserve"> </w:t>
      </w:r>
      <w:r>
        <w:rPr>
          <w:rFonts w:cs="Calibri"/>
          <w:lang w:eastAsia="en-AU"/>
        </w:rPr>
        <w:t xml:space="preserve">not apply to </w:t>
      </w:r>
      <w:r w:rsidR="00F16523">
        <w:rPr>
          <w:rFonts w:cs="Calibri"/>
          <w:lang w:eastAsia="en-AU"/>
        </w:rPr>
        <w:t>Orange simply that</w:t>
      </w:r>
      <w:r>
        <w:rPr>
          <w:rFonts w:cs="Calibri"/>
          <w:lang w:eastAsia="en-AU"/>
        </w:rPr>
        <w:t xml:space="preserve"> both centres have managed to keep pace with each other.</w:t>
      </w:r>
    </w:p>
    <w:p w:rsidR="00CD1BAB" w:rsidRDefault="00CD1BAB" w:rsidP="00F0292E">
      <w:pPr>
        <w:autoSpaceDE w:val="0"/>
        <w:autoSpaceDN w:val="0"/>
        <w:adjustRightInd w:val="0"/>
        <w:spacing w:before="0" w:after="120"/>
        <w:rPr>
          <w:rFonts w:cs="Calibri"/>
          <w:lang w:eastAsia="en-AU"/>
        </w:rPr>
      </w:pPr>
      <w:r>
        <w:rPr>
          <w:rFonts w:cs="Calibri"/>
          <w:lang w:eastAsia="en-AU"/>
        </w:rPr>
        <w:t>Accordingly, Council needs to balance the short term desire to provide enhanced facilities</w:t>
      </w:r>
      <w:r w:rsidR="00F16523">
        <w:rPr>
          <w:rFonts w:cs="Calibri"/>
          <w:lang w:eastAsia="en-AU"/>
        </w:rPr>
        <w:t xml:space="preserve"> </w:t>
      </w:r>
      <w:r>
        <w:rPr>
          <w:rFonts w:cs="Calibri"/>
          <w:lang w:eastAsia="en-AU"/>
        </w:rPr>
        <w:t>for residents of North Orange with the long term strategic interest of preserving and</w:t>
      </w:r>
      <w:r w:rsidR="00F16523">
        <w:rPr>
          <w:rFonts w:cs="Calibri"/>
          <w:lang w:eastAsia="en-AU"/>
        </w:rPr>
        <w:t xml:space="preserve"> </w:t>
      </w:r>
      <w:r>
        <w:rPr>
          <w:rFonts w:cs="Calibri"/>
          <w:lang w:eastAsia="en-AU"/>
        </w:rPr>
        <w:t>enhancing the trading performance and role of the CBD.</w:t>
      </w:r>
    </w:p>
    <w:p w:rsidR="00652FDE" w:rsidRPr="00303427" w:rsidRDefault="00702DFF" w:rsidP="00F0292E">
      <w:pPr>
        <w:autoSpaceDE w:val="0"/>
        <w:autoSpaceDN w:val="0"/>
        <w:adjustRightInd w:val="0"/>
        <w:spacing w:before="0" w:after="120"/>
        <w:rPr>
          <w:rFonts w:cs="Calibri"/>
          <w:lang w:eastAsia="en-AU"/>
        </w:rPr>
      </w:pPr>
      <w:r w:rsidRPr="00303427">
        <w:rPr>
          <w:rFonts w:cs="Calibri"/>
          <w:lang w:eastAsia="en-AU"/>
        </w:rPr>
        <w:t>Subsequent to the lodging of the planning proposal in September 2014</w:t>
      </w:r>
      <w:proofErr w:type="gramStart"/>
      <w:r w:rsidR="006917EC">
        <w:rPr>
          <w:rFonts w:cs="Calibri"/>
          <w:lang w:eastAsia="en-AU"/>
        </w:rPr>
        <w:t xml:space="preserve">,  </w:t>
      </w:r>
      <w:r w:rsidRPr="00303427">
        <w:rPr>
          <w:rFonts w:cs="Calibri"/>
          <w:lang w:eastAsia="en-AU"/>
        </w:rPr>
        <w:t>staff</w:t>
      </w:r>
      <w:proofErr w:type="gramEnd"/>
      <w:r w:rsidRPr="00303427">
        <w:rPr>
          <w:rFonts w:cs="Calibri"/>
          <w:lang w:eastAsia="en-AU"/>
        </w:rPr>
        <w:t xml:space="preserve"> have been involved in protracted negotiations with SCA over the extent and timing of any expansion to the North Orange shopping centre. </w:t>
      </w:r>
      <w:r w:rsidR="00652FDE" w:rsidRPr="00303427">
        <w:rPr>
          <w:rFonts w:cs="Calibri"/>
          <w:lang w:eastAsia="en-AU"/>
        </w:rPr>
        <w:t xml:space="preserve">The focus of discussions has been to balance the legitimate expansion of facilities in North Orange with preserving the role and function of the CBD. </w:t>
      </w:r>
    </w:p>
    <w:p w:rsidR="00702DFF" w:rsidRPr="00303427" w:rsidRDefault="00652FDE" w:rsidP="00F0292E">
      <w:pPr>
        <w:autoSpaceDE w:val="0"/>
        <w:autoSpaceDN w:val="0"/>
        <w:adjustRightInd w:val="0"/>
        <w:spacing w:before="0" w:after="120"/>
        <w:rPr>
          <w:rFonts w:cs="Calibri"/>
          <w:lang w:eastAsia="en-AU"/>
        </w:rPr>
      </w:pPr>
      <w:r w:rsidRPr="00303427">
        <w:rPr>
          <w:rFonts w:cs="Calibri"/>
          <w:lang w:eastAsia="en-AU"/>
        </w:rPr>
        <w:t xml:space="preserve">Council has also been approached by Aldi seeking a suitable location for a second store in Orange, with a strong preference for North Orange. Due to the relevance and timeliness of this interest analysis supplied by Aldi of the Orange supermarket sector has also been considered, alongside the SCA analysis and </w:t>
      </w:r>
      <w:proofErr w:type="spellStart"/>
      <w:r w:rsidRPr="00303427">
        <w:rPr>
          <w:rFonts w:cs="Calibri"/>
          <w:lang w:eastAsia="en-AU"/>
        </w:rPr>
        <w:t>Leyshon’s</w:t>
      </w:r>
      <w:proofErr w:type="spellEnd"/>
      <w:r w:rsidRPr="00303427">
        <w:rPr>
          <w:rFonts w:cs="Calibri"/>
          <w:lang w:eastAsia="en-AU"/>
        </w:rPr>
        <w:t xml:space="preserve"> advice, in relation to this proposal. </w:t>
      </w:r>
    </w:p>
    <w:p w:rsidR="00036D91" w:rsidRPr="00303427" w:rsidRDefault="00652FDE" w:rsidP="00F0292E">
      <w:pPr>
        <w:autoSpaceDE w:val="0"/>
        <w:autoSpaceDN w:val="0"/>
        <w:adjustRightInd w:val="0"/>
        <w:spacing w:before="0" w:after="120"/>
        <w:rPr>
          <w:rFonts w:cs="Calibri"/>
          <w:lang w:eastAsia="en-AU"/>
        </w:rPr>
      </w:pPr>
      <w:r w:rsidRPr="00303427">
        <w:rPr>
          <w:rFonts w:cs="Calibri"/>
          <w:lang w:eastAsia="en-AU"/>
        </w:rPr>
        <w:t>Aldi note that there are currently 7 supermarkets in Orange ranging from 665m</w:t>
      </w:r>
      <w:r w:rsidRPr="00303427">
        <w:rPr>
          <w:rFonts w:cs="Calibri"/>
          <w:vertAlign w:val="superscript"/>
          <w:lang w:eastAsia="en-AU"/>
        </w:rPr>
        <w:t>2</w:t>
      </w:r>
      <w:r w:rsidRPr="00303427">
        <w:rPr>
          <w:rFonts w:cs="Calibri"/>
          <w:lang w:eastAsia="en-AU"/>
        </w:rPr>
        <w:t xml:space="preserve"> </w:t>
      </w:r>
      <w:proofErr w:type="spellStart"/>
      <w:r w:rsidRPr="00303427">
        <w:rPr>
          <w:rFonts w:cs="Calibri"/>
          <w:lang w:eastAsia="en-AU"/>
        </w:rPr>
        <w:t>Foodworks</w:t>
      </w:r>
      <w:proofErr w:type="spellEnd"/>
      <w:r w:rsidRPr="00303427">
        <w:rPr>
          <w:rFonts w:cs="Calibri"/>
          <w:lang w:eastAsia="en-AU"/>
        </w:rPr>
        <w:t xml:space="preserve"> in Dalton Street to 3</w:t>
      </w:r>
      <w:r w:rsidR="00B440F1" w:rsidRPr="00303427">
        <w:rPr>
          <w:rFonts w:cs="Calibri"/>
          <w:lang w:eastAsia="en-AU"/>
        </w:rPr>
        <w:t>,</w:t>
      </w:r>
      <w:r w:rsidRPr="00303427">
        <w:rPr>
          <w:rFonts w:cs="Calibri"/>
          <w:lang w:eastAsia="en-AU"/>
        </w:rPr>
        <w:t>713m</w:t>
      </w:r>
      <w:r w:rsidRPr="00303427">
        <w:rPr>
          <w:rFonts w:cs="Calibri"/>
          <w:vertAlign w:val="superscript"/>
          <w:lang w:eastAsia="en-AU"/>
        </w:rPr>
        <w:t>2</w:t>
      </w:r>
      <w:r w:rsidRPr="00303427">
        <w:rPr>
          <w:rFonts w:cs="Calibri"/>
          <w:lang w:eastAsia="en-AU"/>
        </w:rPr>
        <w:t xml:space="preserve"> Coles in Orange Central for a total of 16</w:t>
      </w:r>
      <w:r w:rsidR="00A63146" w:rsidRPr="00303427">
        <w:rPr>
          <w:rFonts w:cs="Calibri"/>
          <w:lang w:eastAsia="en-AU"/>
        </w:rPr>
        <w:t>,</w:t>
      </w:r>
      <w:r w:rsidR="00036D91" w:rsidRPr="00303427">
        <w:rPr>
          <w:rFonts w:cs="Calibri"/>
          <w:lang w:eastAsia="en-AU"/>
        </w:rPr>
        <w:t>227</w:t>
      </w:r>
      <w:r w:rsidRPr="00303427">
        <w:rPr>
          <w:rFonts w:cs="Calibri"/>
          <w:lang w:eastAsia="en-AU"/>
        </w:rPr>
        <w:t>m</w:t>
      </w:r>
      <w:r w:rsidRPr="00303427">
        <w:rPr>
          <w:rFonts w:cs="Calibri"/>
          <w:vertAlign w:val="superscript"/>
          <w:lang w:eastAsia="en-AU"/>
        </w:rPr>
        <w:t>2</w:t>
      </w:r>
      <w:r w:rsidRPr="00303427">
        <w:rPr>
          <w:rFonts w:cs="Calibri"/>
          <w:lang w:eastAsia="en-AU"/>
        </w:rPr>
        <w:t xml:space="preserve"> of supermarket </w:t>
      </w:r>
      <w:proofErr w:type="spellStart"/>
      <w:r w:rsidRPr="00303427">
        <w:rPr>
          <w:rFonts w:cs="Calibri"/>
          <w:lang w:eastAsia="en-AU"/>
        </w:rPr>
        <w:t>floorspace</w:t>
      </w:r>
      <w:proofErr w:type="spellEnd"/>
      <w:r w:rsidRPr="00303427">
        <w:rPr>
          <w:rFonts w:cs="Calibri"/>
          <w:lang w:eastAsia="en-AU"/>
        </w:rPr>
        <w:t xml:space="preserve">. With a population estimate of </w:t>
      </w:r>
      <w:r w:rsidR="00256405" w:rsidRPr="00303427">
        <w:rPr>
          <w:rFonts w:cs="Calibri"/>
          <w:lang w:eastAsia="en-AU"/>
        </w:rPr>
        <w:t>43,624 this equates to a ratio of 0.3</w:t>
      </w:r>
      <w:r w:rsidR="00036D91" w:rsidRPr="00303427">
        <w:rPr>
          <w:rFonts w:cs="Calibri"/>
          <w:lang w:eastAsia="en-AU"/>
        </w:rPr>
        <w:t>7</w:t>
      </w:r>
      <w:r w:rsidR="00256405" w:rsidRPr="00303427">
        <w:rPr>
          <w:rFonts w:cs="Calibri"/>
          <w:lang w:eastAsia="en-AU"/>
        </w:rPr>
        <w:t>m</w:t>
      </w:r>
      <w:r w:rsidR="00256405" w:rsidRPr="00303427">
        <w:rPr>
          <w:rFonts w:cs="Calibri"/>
          <w:vertAlign w:val="superscript"/>
          <w:lang w:eastAsia="en-AU"/>
        </w:rPr>
        <w:t>2</w:t>
      </w:r>
      <w:r w:rsidR="00256405" w:rsidRPr="00303427">
        <w:rPr>
          <w:rFonts w:cs="Calibri"/>
          <w:lang w:eastAsia="en-AU"/>
        </w:rPr>
        <w:t xml:space="preserve"> per capita.</w:t>
      </w:r>
      <w:r w:rsidR="00A63146" w:rsidRPr="00303427">
        <w:rPr>
          <w:rFonts w:cs="Calibri"/>
          <w:lang w:eastAsia="en-AU"/>
        </w:rPr>
        <w:t xml:space="preserve"> </w:t>
      </w:r>
    </w:p>
    <w:p w:rsidR="002D40FE" w:rsidRDefault="00A63146" w:rsidP="00F0292E">
      <w:pPr>
        <w:autoSpaceDE w:val="0"/>
        <w:autoSpaceDN w:val="0"/>
        <w:adjustRightInd w:val="0"/>
        <w:spacing w:before="0" w:after="120"/>
        <w:rPr>
          <w:rFonts w:cs="Calibri"/>
          <w:lang w:eastAsia="en-AU"/>
        </w:rPr>
      </w:pPr>
      <w:r w:rsidRPr="00303427">
        <w:rPr>
          <w:rFonts w:cs="Calibri"/>
          <w:lang w:eastAsia="en-AU"/>
        </w:rPr>
        <w:t xml:space="preserve">A comparison is then provided against 14 other regional and coastal centres of comparable population showing supermarket </w:t>
      </w:r>
      <w:proofErr w:type="spellStart"/>
      <w:r w:rsidRPr="00303427">
        <w:rPr>
          <w:rFonts w:cs="Calibri"/>
          <w:lang w:eastAsia="en-AU"/>
        </w:rPr>
        <w:t>floorspace</w:t>
      </w:r>
      <w:proofErr w:type="spellEnd"/>
      <w:r w:rsidRPr="00303427">
        <w:rPr>
          <w:rFonts w:cs="Calibri"/>
          <w:lang w:eastAsia="en-AU"/>
        </w:rPr>
        <w:t xml:space="preserve"> </w:t>
      </w:r>
      <w:proofErr w:type="spellStart"/>
      <w:r w:rsidRPr="00303427">
        <w:rPr>
          <w:rFonts w:cs="Calibri"/>
          <w:lang w:eastAsia="en-AU"/>
        </w:rPr>
        <w:t>ratio’s</w:t>
      </w:r>
      <w:proofErr w:type="spellEnd"/>
      <w:r w:rsidRPr="00303427">
        <w:rPr>
          <w:rFonts w:cs="Calibri"/>
          <w:lang w:eastAsia="en-AU"/>
        </w:rPr>
        <w:t xml:space="preserve"> of 0.38m</w:t>
      </w:r>
      <w:r w:rsidRPr="00303427">
        <w:rPr>
          <w:rFonts w:cs="Calibri"/>
          <w:vertAlign w:val="superscript"/>
          <w:lang w:eastAsia="en-AU"/>
        </w:rPr>
        <w:t>2</w:t>
      </w:r>
      <w:r w:rsidRPr="00303427">
        <w:rPr>
          <w:rFonts w:cs="Calibri"/>
          <w:lang w:eastAsia="en-AU"/>
        </w:rPr>
        <w:t xml:space="preserve"> up to 0.68m</w:t>
      </w:r>
      <w:r w:rsidRPr="00303427">
        <w:rPr>
          <w:rFonts w:cs="Calibri"/>
          <w:vertAlign w:val="superscript"/>
          <w:lang w:eastAsia="en-AU"/>
        </w:rPr>
        <w:t>2</w:t>
      </w:r>
      <w:r w:rsidRPr="00303427">
        <w:rPr>
          <w:rFonts w:cs="Calibri"/>
          <w:lang w:eastAsia="en-AU"/>
        </w:rPr>
        <w:t xml:space="preserve"> per capita (averaging 0.47m</w:t>
      </w:r>
      <w:r w:rsidRPr="00303427">
        <w:rPr>
          <w:rFonts w:cs="Calibri"/>
          <w:vertAlign w:val="superscript"/>
          <w:lang w:eastAsia="en-AU"/>
        </w:rPr>
        <w:t>2</w:t>
      </w:r>
      <w:r w:rsidRPr="00303427">
        <w:rPr>
          <w:rFonts w:cs="Calibri"/>
          <w:lang w:eastAsia="en-AU"/>
        </w:rPr>
        <w:t xml:space="preserve"> per capita).</w:t>
      </w:r>
      <w:r w:rsidR="002D40FE" w:rsidRPr="00303427">
        <w:rPr>
          <w:rFonts w:cs="Calibri"/>
          <w:lang w:eastAsia="en-AU"/>
        </w:rPr>
        <w:t xml:space="preserve"> While this potentially portrays Orange as being underserved in the supermarket sector it must be remembered that the analysis was prepared to justify adding to the current supply.</w:t>
      </w:r>
      <w:r w:rsidR="002D40FE">
        <w:rPr>
          <w:rFonts w:cs="Calibri"/>
          <w:lang w:eastAsia="en-AU"/>
        </w:rPr>
        <w:t xml:space="preserve"> </w:t>
      </w:r>
    </w:p>
    <w:p w:rsidR="00036D91" w:rsidRPr="00FA04AC" w:rsidRDefault="002D40FE" w:rsidP="00F0292E">
      <w:pPr>
        <w:autoSpaceDE w:val="0"/>
        <w:autoSpaceDN w:val="0"/>
        <w:adjustRightInd w:val="0"/>
        <w:spacing w:before="0" w:after="120"/>
        <w:rPr>
          <w:rFonts w:cs="Calibri"/>
          <w:b/>
          <w:lang w:eastAsia="en-AU"/>
        </w:rPr>
      </w:pPr>
      <w:r w:rsidRPr="00FA04AC">
        <w:rPr>
          <w:rFonts w:cs="Calibri"/>
          <w:b/>
          <w:lang w:eastAsia="en-AU"/>
        </w:rPr>
        <w:t xml:space="preserve"> </w:t>
      </w:r>
      <w:r w:rsidR="00036D91" w:rsidRPr="00FA04AC">
        <w:rPr>
          <w:rFonts w:cs="Calibri"/>
          <w:b/>
          <w:lang w:eastAsia="en-AU"/>
        </w:rPr>
        <w:t>Current supermarket</w:t>
      </w:r>
      <w:r w:rsidR="00FA04AC" w:rsidRPr="00FA04AC">
        <w:rPr>
          <w:rFonts w:cs="Calibri"/>
          <w:b/>
          <w:lang w:eastAsia="en-AU"/>
        </w:rPr>
        <w:t xml:space="preserve"> sector in Orange</w:t>
      </w:r>
    </w:p>
    <w:tbl>
      <w:tblPr>
        <w:tblStyle w:val="TableGrid"/>
        <w:tblW w:w="0" w:type="auto"/>
        <w:jc w:val="center"/>
        <w:tblLook w:val="04A0" w:firstRow="1" w:lastRow="0" w:firstColumn="1" w:lastColumn="0" w:noHBand="0" w:noVBand="1"/>
      </w:tblPr>
      <w:tblGrid>
        <w:gridCol w:w="1951"/>
        <w:gridCol w:w="2552"/>
        <w:gridCol w:w="1701"/>
      </w:tblGrid>
      <w:tr w:rsidR="00036D91" w:rsidRPr="00036D91" w:rsidTr="0078441D">
        <w:trPr>
          <w:jc w:val="center"/>
        </w:trPr>
        <w:tc>
          <w:tcPr>
            <w:tcW w:w="1951" w:type="dxa"/>
          </w:tcPr>
          <w:p w:rsidR="00036D91" w:rsidRPr="00036D91" w:rsidRDefault="00036D91" w:rsidP="0078441D">
            <w:pPr>
              <w:autoSpaceDE w:val="0"/>
              <w:autoSpaceDN w:val="0"/>
              <w:adjustRightInd w:val="0"/>
              <w:spacing w:before="0" w:after="120"/>
              <w:jc w:val="center"/>
              <w:rPr>
                <w:rFonts w:cs="Calibri"/>
                <w:b/>
                <w:lang w:eastAsia="en-AU"/>
              </w:rPr>
            </w:pPr>
            <w:r w:rsidRPr="00036D91">
              <w:rPr>
                <w:rFonts w:cs="Calibri"/>
                <w:b/>
                <w:lang w:eastAsia="en-AU"/>
              </w:rPr>
              <w:t>Location</w:t>
            </w:r>
          </w:p>
        </w:tc>
        <w:tc>
          <w:tcPr>
            <w:tcW w:w="2552" w:type="dxa"/>
          </w:tcPr>
          <w:p w:rsidR="00036D91" w:rsidRPr="00036D91" w:rsidRDefault="00036D91" w:rsidP="0078441D">
            <w:pPr>
              <w:autoSpaceDE w:val="0"/>
              <w:autoSpaceDN w:val="0"/>
              <w:adjustRightInd w:val="0"/>
              <w:spacing w:before="0" w:after="120"/>
              <w:jc w:val="center"/>
              <w:rPr>
                <w:rFonts w:cs="Calibri"/>
                <w:b/>
                <w:lang w:eastAsia="en-AU"/>
              </w:rPr>
            </w:pPr>
            <w:r w:rsidRPr="00036D91">
              <w:rPr>
                <w:rFonts w:cs="Calibri"/>
                <w:b/>
                <w:lang w:eastAsia="en-AU"/>
              </w:rPr>
              <w:t>Operator</w:t>
            </w:r>
          </w:p>
        </w:tc>
        <w:tc>
          <w:tcPr>
            <w:tcW w:w="1701" w:type="dxa"/>
          </w:tcPr>
          <w:p w:rsidR="00036D91" w:rsidRPr="00036D91" w:rsidRDefault="00036D91" w:rsidP="0078441D">
            <w:pPr>
              <w:autoSpaceDE w:val="0"/>
              <w:autoSpaceDN w:val="0"/>
              <w:adjustRightInd w:val="0"/>
              <w:spacing w:before="0" w:after="120"/>
              <w:jc w:val="center"/>
              <w:rPr>
                <w:rFonts w:cs="Calibri"/>
                <w:b/>
                <w:lang w:eastAsia="en-AU"/>
              </w:rPr>
            </w:pPr>
            <w:r w:rsidRPr="00036D91">
              <w:rPr>
                <w:rFonts w:cs="Calibri"/>
                <w:b/>
                <w:lang w:eastAsia="en-AU"/>
              </w:rPr>
              <w:t>Size</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CBD</w:t>
            </w:r>
          </w:p>
        </w:tc>
        <w:tc>
          <w:tcPr>
            <w:tcW w:w="2552" w:type="dxa"/>
          </w:tcPr>
          <w:p w:rsidR="00036D91" w:rsidRDefault="00036D91" w:rsidP="0078441D">
            <w:pPr>
              <w:autoSpaceDE w:val="0"/>
              <w:autoSpaceDN w:val="0"/>
              <w:adjustRightInd w:val="0"/>
              <w:spacing w:before="0" w:after="120"/>
              <w:rPr>
                <w:rFonts w:cs="Calibri"/>
                <w:lang w:eastAsia="en-AU"/>
              </w:rPr>
            </w:pPr>
            <w:r>
              <w:rPr>
                <w:rFonts w:cs="Calibri"/>
                <w:lang w:eastAsia="en-AU"/>
              </w:rPr>
              <w:t>Woolworths</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3,330m</w:t>
            </w:r>
            <w:r w:rsidRPr="00036D91">
              <w:rPr>
                <w:rFonts w:cs="Calibri"/>
                <w:vertAlign w:val="superscript"/>
                <w:lang w:eastAsia="en-AU"/>
              </w:rPr>
              <w:t>2</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CBD</w:t>
            </w:r>
          </w:p>
        </w:tc>
        <w:tc>
          <w:tcPr>
            <w:tcW w:w="2552" w:type="dxa"/>
          </w:tcPr>
          <w:p w:rsidR="00036D91" w:rsidRDefault="00036D91" w:rsidP="0078441D">
            <w:pPr>
              <w:autoSpaceDE w:val="0"/>
              <w:autoSpaceDN w:val="0"/>
              <w:adjustRightInd w:val="0"/>
              <w:spacing w:before="0" w:after="120"/>
              <w:rPr>
                <w:rFonts w:cs="Calibri"/>
                <w:lang w:eastAsia="en-AU"/>
              </w:rPr>
            </w:pPr>
            <w:r>
              <w:rPr>
                <w:rFonts w:cs="Calibri"/>
                <w:lang w:eastAsia="en-AU"/>
              </w:rPr>
              <w:t>Coles</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3,713m</w:t>
            </w:r>
            <w:r w:rsidRPr="00036D91">
              <w:rPr>
                <w:rFonts w:cs="Calibri"/>
                <w:vertAlign w:val="superscript"/>
                <w:lang w:eastAsia="en-AU"/>
              </w:rPr>
              <w:t>2</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CBD</w:t>
            </w:r>
          </w:p>
        </w:tc>
        <w:tc>
          <w:tcPr>
            <w:tcW w:w="2552" w:type="dxa"/>
          </w:tcPr>
          <w:p w:rsidR="00036D91" w:rsidRDefault="00036D91" w:rsidP="0078441D">
            <w:pPr>
              <w:autoSpaceDE w:val="0"/>
              <w:autoSpaceDN w:val="0"/>
              <w:adjustRightInd w:val="0"/>
              <w:spacing w:before="0" w:after="120"/>
              <w:rPr>
                <w:rFonts w:cs="Calibri"/>
                <w:lang w:eastAsia="en-AU"/>
              </w:rPr>
            </w:pPr>
            <w:r>
              <w:rPr>
                <w:rFonts w:cs="Calibri"/>
                <w:lang w:eastAsia="en-AU"/>
              </w:rPr>
              <w:t>IGA (</w:t>
            </w:r>
            <w:proofErr w:type="spellStart"/>
            <w:r>
              <w:rPr>
                <w:rFonts w:cs="Calibri"/>
                <w:lang w:eastAsia="en-AU"/>
              </w:rPr>
              <w:t>Peisley</w:t>
            </w:r>
            <w:proofErr w:type="spellEnd"/>
            <w:r>
              <w:rPr>
                <w:rFonts w:cs="Calibri"/>
                <w:lang w:eastAsia="en-AU"/>
              </w:rPr>
              <w:t xml:space="preserve"> </w:t>
            </w:r>
            <w:proofErr w:type="spellStart"/>
            <w:r>
              <w:rPr>
                <w:rFonts w:cs="Calibri"/>
                <w:lang w:eastAsia="en-AU"/>
              </w:rPr>
              <w:t>st</w:t>
            </w:r>
            <w:proofErr w:type="spellEnd"/>
            <w:r>
              <w:rPr>
                <w:rFonts w:cs="Calibri"/>
                <w:lang w:eastAsia="en-AU"/>
              </w:rPr>
              <w:t>)</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2,207m</w:t>
            </w:r>
            <w:r w:rsidRPr="00036D91">
              <w:rPr>
                <w:rFonts w:cs="Calibri"/>
                <w:vertAlign w:val="superscript"/>
                <w:lang w:eastAsia="en-AU"/>
              </w:rPr>
              <w:t>2</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CBD</w:t>
            </w:r>
          </w:p>
        </w:tc>
        <w:tc>
          <w:tcPr>
            <w:tcW w:w="2552" w:type="dxa"/>
          </w:tcPr>
          <w:p w:rsidR="00036D91" w:rsidRDefault="00036D91" w:rsidP="0078441D">
            <w:pPr>
              <w:autoSpaceDE w:val="0"/>
              <w:autoSpaceDN w:val="0"/>
              <w:adjustRightInd w:val="0"/>
              <w:spacing w:before="0" w:after="120"/>
              <w:rPr>
                <w:rFonts w:cs="Calibri"/>
                <w:lang w:eastAsia="en-AU"/>
              </w:rPr>
            </w:pPr>
            <w:r>
              <w:rPr>
                <w:rFonts w:cs="Calibri"/>
                <w:lang w:eastAsia="en-AU"/>
              </w:rPr>
              <w:t>IGA (Summer centre)</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1,650m</w:t>
            </w:r>
            <w:r w:rsidRPr="00036D91">
              <w:rPr>
                <w:rFonts w:cs="Calibri"/>
                <w:vertAlign w:val="superscript"/>
                <w:lang w:eastAsia="en-AU"/>
              </w:rPr>
              <w:t>2</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CBD</w:t>
            </w:r>
          </w:p>
        </w:tc>
        <w:tc>
          <w:tcPr>
            <w:tcW w:w="2552" w:type="dxa"/>
          </w:tcPr>
          <w:p w:rsidR="00036D91" w:rsidRDefault="00036D91" w:rsidP="0078441D">
            <w:pPr>
              <w:autoSpaceDE w:val="0"/>
              <w:autoSpaceDN w:val="0"/>
              <w:adjustRightInd w:val="0"/>
              <w:spacing w:before="0" w:after="120"/>
              <w:rPr>
                <w:rFonts w:cs="Calibri"/>
                <w:lang w:eastAsia="en-AU"/>
              </w:rPr>
            </w:pPr>
            <w:r>
              <w:rPr>
                <w:rFonts w:cs="Calibri"/>
                <w:lang w:eastAsia="en-AU"/>
              </w:rPr>
              <w:t>Aldi</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1,462m</w:t>
            </w:r>
            <w:r w:rsidRPr="00036D91">
              <w:rPr>
                <w:rFonts w:cs="Calibri"/>
                <w:vertAlign w:val="superscript"/>
                <w:lang w:eastAsia="en-AU"/>
              </w:rPr>
              <w:t>2</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North Orange</w:t>
            </w:r>
          </w:p>
        </w:tc>
        <w:tc>
          <w:tcPr>
            <w:tcW w:w="2552" w:type="dxa"/>
          </w:tcPr>
          <w:p w:rsidR="00036D91" w:rsidRDefault="00036D91" w:rsidP="0078441D">
            <w:pPr>
              <w:autoSpaceDE w:val="0"/>
              <w:autoSpaceDN w:val="0"/>
              <w:adjustRightInd w:val="0"/>
              <w:spacing w:before="0" w:after="120"/>
              <w:rPr>
                <w:rFonts w:cs="Calibri"/>
                <w:lang w:eastAsia="en-AU"/>
              </w:rPr>
            </w:pPr>
            <w:r>
              <w:rPr>
                <w:rFonts w:cs="Calibri"/>
                <w:lang w:eastAsia="en-AU"/>
              </w:rPr>
              <w:t>Woolworths</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3,200m</w:t>
            </w:r>
            <w:r w:rsidRPr="00036D91">
              <w:rPr>
                <w:rFonts w:cs="Calibri"/>
                <w:vertAlign w:val="superscript"/>
                <w:lang w:eastAsia="en-AU"/>
              </w:rPr>
              <w:t>2</w:t>
            </w:r>
          </w:p>
        </w:tc>
      </w:tr>
      <w:tr w:rsidR="00036D91" w:rsidTr="0078441D">
        <w:trPr>
          <w:jc w:val="center"/>
        </w:trPr>
        <w:tc>
          <w:tcPr>
            <w:tcW w:w="1951" w:type="dxa"/>
          </w:tcPr>
          <w:p w:rsidR="00036D91" w:rsidRDefault="00036D91" w:rsidP="0078441D">
            <w:pPr>
              <w:autoSpaceDE w:val="0"/>
              <w:autoSpaceDN w:val="0"/>
              <w:adjustRightInd w:val="0"/>
              <w:spacing w:before="0" w:after="120"/>
              <w:rPr>
                <w:rFonts w:cs="Calibri"/>
                <w:lang w:eastAsia="en-AU"/>
              </w:rPr>
            </w:pPr>
            <w:r>
              <w:rPr>
                <w:rFonts w:cs="Calibri"/>
                <w:lang w:eastAsia="en-AU"/>
              </w:rPr>
              <w:t>Alpine Stores</w:t>
            </w:r>
          </w:p>
        </w:tc>
        <w:tc>
          <w:tcPr>
            <w:tcW w:w="2552" w:type="dxa"/>
          </w:tcPr>
          <w:p w:rsidR="00036D91" w:rsidRDefault="00036D91" w:rsidP="0078441D">
            <w:pPr>
              <w:autoSpaceDE w:val="0"/>
              <w:autoSpaceDN w:val="0"/>
              <w:adjustRightInd w:val="0"/>
              <w:spacing w:before="0" w:after="120"/>
              <w:rPr>
                <w:rFonts w:cs="Calibri"/>
                <w:lang w:eastAsia="en-AU"/>
              </w:rPr>
            </w:pPr>
            <w:proofErr w:type="spellStart"/>
            <w:r>
              <w:rPr>
                <w:rFonts w:cs="Calibri"/>
                <w:lang w:eastAsia="en-AU"/>
              </w:rPr>
              <w:t>Foodworks</w:t>
            </w:r>
            <w:proofErr w:type="spellEnd"/>
            <w:r w:rsidR="00FA04AC">
              <w:rPr>
                <w:rFonts w:cs="Calibri"/>
                <w:lang w:eastAsia="en-AU"/>
              </w:rPr>
              <w:t>*</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665m</w:t>
            </w:r>
            <w:r w:rsidRPr="00036D91">
              <w:rPr>
                <w:rFonts w:cs="Calibri"/>
                <w:vertAlign w:val="superscript"/>
                <w:lang w:eastAsia="en-AU"/>
              </w:rPr>
              <w:t>2</w:t>
            </w:r>
          </w:p>
        </w:tc>
      </w:tr>
      <w:tr w:rsidR="00036D91" w:rsidTr="0078441D">
        <w:trPr>
          <w:jc w:val="center"/>
        </w:trPr>
        <w:tc>
          <w:tcPr>
            <w:tcW w:w="4503" w:type="dxa"/>
            <w:gridSpan w:val="2"/>
          </w:tcPr>
          <w:p w:rsidR="00036D91" w:rsidRDefault="00036D91" w:rsidP="0078441D">
            <w:pPr>
              <w:autoSpaceDE w:val="0"/>
              <w:autoSpaceDN w:val="0"/>
              <w:adjustRightInd w:val="0"/>
              <w:spacing w:before="0" w:after="120"/>
              <w:jc w:val="right"/>
              <w:rPr>
                <w:rFonts w:cs="Calibri"/>
                <w:lang w:eastAsia="en-AU"/>
              </w:rPr>
            </w:pPr>
            <w:r>
              <w:rPr>
                <w:rFonts w:cs="Calibri"/>
                <w:lang w:eastAsia="en-AU"/>
              </w:rPr>
              <w:t>Total</w:t>
            </w:r>
          </w:p>
        </w:tc>
        <w:tc>
          <w:tcPr>
            <w:tcW w:w="1701" w:type="dxa"/>
          </w:tcPr>
          <w:p w:rsidR="00036D91" w:rsidRDefault="00036D91" w:rsidP="0078441D">
            <w:pPr>
              <w:autoSpaceDE w:val="0"/>
              <w:autoSpaceDN w:val="0"/>
              <w:adjustRightInd w:val="0"/>
              <w:spacing w:before="0" w:after="120"/>
              <w:rPr>
                <w:rFonts w:cs="Calibri"/>
                <w:lang w:eastAsia="en-AU"/>
              </w:rPr>
            </w:pPr>
            <w:r>
              <w:rPr>
                <w:rFonts w:cs="Calibri"/>
                <w:lang w:eastAsia="en-AU"/>
              </w:rPr>
              <w:t>16,227m</w:t>
            </w:r>
            <w:r w:rsidRPr="00036D91">
              <w:rPr>
                <w:rFonts w:cs="Calibri"/>
                <w:vertAlign w:val="superscript"/>
                <w:lang w:eastAsia="en-AU"/>
              </w:rPr>
              <w:t>2</w:t>
            </w:r>
          </w:p>
        </w:tc>
      </w:tr>
    </w:tbl>
    <w:p w:rsidR="00FA04AC" w:rsidRDefault="00147741" w:rsidP="00F0292E">
      <w:pPr>
        <w:autoSpaceDE w:val="0"/>
        <w:autoSpaceDN w:val="0"/>
        <w:adjustRightInd w:val="0"/>
        <w:spacing w:before="0" w:after="120"/>
        <w:rPr>
          <w:rFonts w:cs="Calibri"/>
          <w:lang w:eastAsia="en-AU"/>
        </w:rPr>
      </w:pPr>
      <w:r>
        <w:rPr>
          <w:rFonts w:cs="Calibri"/>
          <w:lang w:eastAsia="en-AU"/>
        </w:rPr>
        <w:t xml:space="preserve">* </w:t>
      </w:r>
      <w:r w:rsidR="00FA04AC">
        <w:rPr>
          <w:rFonts w:cs="Calibri"/>
          <w:lang w:eastAsia="en-AU"/>
        </w:rPr>
        <w:t xml:space="preserve">It should be noted that the </w:t>
      </w:r>
      <w:proofErr w:type="spellStart"/>
      <w:r>
        <w:rPr>
          <w:rFonts w:cs="Calibri"/>
          <w:lang w:eastAsia="en-AU"/>
        </w:rPr>
        <w:t>F</w:t>
      </w:r>
      <w:r w:rsidR="00FA04AC">
        <w:rPr>
          <w:rFonts w:cs="Calibri"/>
          <w:lang w:eastAsia="en-AU"/>
        </w:rPr>
        <w:t>oodworks</w:t>
      </w:r>
      <w:proofErr w:type="spellEnd"/>
      <w:r w:rsidR="00FA04AC">
        <w:rPr>
          <w:rFonts w:cs="Calibri"/>
          <w:lang w:eastAsia="en-AU"/>
        </w:rPr>
        <w:t xml:space="preserve"> store recently applied to expand their operation into an adjoining tenancy.</w:t>
      </w:r>
    </w:p>
    <w:p w:rsidR="00097080" w:rsidRDefault="00097080">
      <w:pPr>
        <w:spacing w:before="0"/>
        <w:jc w:val="left"/>
        <w:rPr>
          <w:rFonts w:cs="Calibri"/>
          <w:b/>
          <w:lang w:eastAsia="en-AU"/>
        </w:rPr>
      </w:pPr>
      <w:r>
        <w:rPr>
          <w:rFonts w:cs="Calibri"/>
          <w:b/>
          <w:lang w:eastAsia="en-AU"/>
        </w:rPr>
        <w:br w:type="page"/>
      </w:r>
    </w:p>
    <w:p w:rsidR="00147741" w:rsidRPr="0089653F" w:rsidRDefault="00147741" w:rsidP="00F0292E">
      <w:pPr>
        <w:autoSpaceDE w:val="0"/>
        <w:autoSpaceDN w:val="0"/>
        <w:adjustRightInd w:val="0"/>
        <w:spacing w:before="0" w:after="120"/>
        <w:rPr>
          <w:rFonts w:cs="Calibri"/>
          <w:b/>
          <w:lang w:eastAsia="en-AU"/>
        </w:rPr>
      </w:pPr>
      <w:r w:rsidRPr="0089653F">
        <w:rPr>
          <w:rFonts w:cs="Calibri"/>
          <w:b/>
          <w:lang w:eastAsia="en-AU"/>
        </w:rPr>
        <w:t>Comparable regional / coastal centres</w:t>
      </w:r>
    </w:p>
    <w:tbl>
      <w:tblPr>
        <w:tblStyle w:val="TableGrid"/>
        <w:tblW w:w="9322" w:type="dxa"/>
        <w:tblLook w:val="04A0" w:firstRow="1" w:lastRow="0" w:firstColumn="1" w:lastColumn="0" w:noHBand="0" w:noVBand="1"/>
      </w:tblPr>
      <w:tblGrid>
        <w:gridCol w:w="2376"/>
        <w:gridCol w:w="4253"/>
        <w:gridCol w:w="2693"/>
      </w:tblGrid>
      <w:tr w:rsidR="00147741" w:rsidTr="0089653F">
        <w:tc>
          <w:tcPr>
            <w:tcW w:w="2376" w:type="dxa"/>
          </w:tcPr>
          <w:p w:rsidR="00147741" w:rsidRDefault="00147741" w:rsidP="00F0292E">
            <w:pPr>
              <w:autoSpaceDE w:val="0"/>
              <w:autoSpaceDN w:val="0"/>
              <w:adjustRightInd w:val="0"/>
              <w:spacing w:before="0" w:after="120"/>
              <w:rPr>
                <w:rFonts w:cs="Calibri"/>
                <w:lang w:eastAsia="en-AU"/>
              </w:rPr>
            </w:pPr>
            <w:r>
              <w:rPr>
                <w:rFonts w:cs="Calibri"/>
                <w:lang w:eastAsia="en-AU"/>
              </w:rPr>
              <w:t>City</w:t>
            </w:r>
          </w:p>
        </w:tc>
        <w:tc>
          <w:tcPr>
            <w:tcW w:w="4253" w:type="dxa"/>
          </w:tcPr>
          <w:p w:rsidR="00147741" w:rsidRDefault="00147741" w:rsidP="0089653F">
            <w:pPr>
              <w:autoSpaceDE w:val="0"/>
              <w:autoSpaceDN w:val="0"/>
              <w:adjustRightInd w:val="0"/>
              <w:spacing w:before="0" w:after="120"/>
              <w:rPr>
                <w:rFonts w:cs="Calibri"/>
                <w:lang w:eastAsia="en-AU"/>
              </w:rPr>
            </w:pPr>
            <w:r>
              <w:rPr>
                <w:rFonts w:cs="Calibri"/>
                <w:lang w:eastAsia="en-AU"/>
              </w:rPr>
              <w:t>Estimated Resident Population</w:t>
            </w:r>
            <w:r w:rsidR="0089653F">
              <w:rPr>
                <w:rFonts w:cs="Calibri"/>
                <w:lang w:eastAsia="en-AU"/>
              </w:rPr>
              <w:t xml:space="preserve">       </w:t>
            </w:r>
            <w:r>
              <w:rPr>
                <w:rFonts w:cs="Calibri"/>
                <w:lang w:eastAsia="en-AU"/>
              </w:rPr>
              <w:t>(</w:t>
            </w:r>
            <w:r w:rsidR="0084324B">
              <w:rPr>
                <w:rFonts w:cs="Calibri"/>
                <w:lang w:eastAsia="en-AU"/>
              </w:rPr>
              <w:t xml:space="preserve">June </w:t>
            </w:r>
            <w:r>
              <w:rPr>
                <w:rFonts w:cs="Calibri"/>
                <w:lang w:eastAsia="en-AU"/>
              </w:rPr>
              <w:t xml:space="preserve">2015 – </w:t>
            </w:r>
            <w:r w:rsidR="0084324B">
              <w:rPr>
                <w:rFonts w:cs="Calibri"/>
                <w:lang w:eastAsia="en-AU"/>
              </w:rPr>
              <w:t xml:space="preserve">significant urban area </w:t>
            </w:r>
            <w:r>
              <w:rPr>
                <w:rFonts w:cs="Calibri"/>
                <w:lang w:eastAsia="en-AU"/>
              </w:rPr>
              <w:t>ABS)</w:t>
            </w:r>
          </w:p>
        </w:tc>
        <w:tc>
          <w:tcPr>
            <w:tcW w:w="2693" w:type="dxa"/>
          </w:tcPr>
          <w:p w:rsidR="00147741" w:rsidRDefault="00147741" w:rsidP="00F0292E">
            <w:pPr>
              <w:autoSpaceDE w:val="0"/>
              <w:autoSpaceDN w:val="0"/>
              <w:adjustRightInd w:val="0"/>
              <w:spacing w:before="0" w:after="120"/>
              <w:rPr>
                <w:rFonts w:cs="Calibri"/>
                <w:lang w:eastAsia="en-AU"/>
              </w:rPr>
            </w:pPr>
            <w:r>
              <w:rPr>
                <w:rFonts w:cs="Calibri"/>
                <w:lang w:eastAsia="en-AU"/>
              </w:rPr>
              <w:t xml:space="preserve">Supermarket </w:t>
            </w:r>
            <w:proofErr w:type="spellStart"/>
            <w:r>
              <w:rPr>
                <w:rFonts w:cs="Calibri"/>
                <w:lang w:eastAsia="en-AU"/>
              </w:rPr>
              <w:t>floorspace</w:t>
            </w:r>
            <w:proofErr w:type="spellEnd"/>
            <w:r>
              <w:rPr>
                <w:rFonts w:cs="Calibri"/>
                <w:lang w:eastAsia="en-AU"/>
              </w:rPr>
              <w:t xml:space="preserve"> ratio (Aldi estimate)</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Grafton</w:t>
            </w:r>
          </w:p>
        </w:tc>
        <w:tc>
          <w:tcPr>
            <w:tcW w:w="4253" w:type="dxa"/>
          </w:tcPr>
          <w:p w:rsidR="00147741" w:rsidRDefault="0089653F" w:rsidP="0089653F">
            <w:pPr>
              <w:autoSpaceDE w:val="0"/>
              <w:autoSpaceDN w:val="0"/>
              <w:adjustRightInd w:val="0"/>
              <w:spacing w:before="0" w:after="120"/>
              <w:jc w:val="center"/>
              <w:rPr>
                <w:rFonts w:cs="Calibri"/>
                <w:lang w:eastAsia="en-AU"/>
              </w:rPr>
            </w:pPr>
            <w:r>
              <w:rPr>
                <w:rFonts w:cs="Calibri"/>
                <w:lang w:eastAsia="en-AU"/>
              </w:rPr>
              <w:t>18,689</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0.68m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Batemans Bay</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16,680</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0.64m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Coffs Harbour</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68,572</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0.60m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Bowral-Mittagong</w:t>
            </w:r>
          </w:p>
        </w:tc>
        <w:tc>
          <w:tcPr>
            <w:tcW w:w="4253" w:type="dxa"/>
          </w:tcPr>
          <w:p w:rsidR="00147741" w:rsidRDefault="0089653F" w:rsidP="0089653F">
            <w:pPr>
              <w:autoSpaceDE w:val="0"/>
              <w:autoSpaceDN w:val="0"/>
              <w:adjustRightInd w:val="0"/>
              <w:spacing w:before="0" w:after="120"/>
              <w:jc w:val="center"/>
              <w:rPr>
                <w:rFonts w:cs="Calibri"/>
                <w:lang w:eastAsia="en-AU"/>
              </w:rPr>
            </w:pPr>
            <w:r>
              <w:rPr>
                <w:rFonts w:cs="Calibri"/>
                <w:lang w:eastAsia="en-AU"/>
              </w:rPr>
              <w:t>37,897</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0.55m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Taree</w:t>
            </w:r>
          </w:p>
        </w:tc>
        <w:tc>
          <w:tcPr>
            <w:tcW w:w="4253" w:type="dxa"/>
          </w:tcPr>
          <w:p w:rsidR="00147741" w:rsidRDefault="0089653F" w:rsidP="0089653F">
            <w:pPr>
              <w:autoSpaceDE w:val="0"/>
              <w:autoSpaceDN w:val="0"/>
              <w:adjustRightInd w:val="0"/>
              <w:spacing w:before="0" w:after="120"/>
              <w:jc w:val="center"/>
              <w:rPr>
                <w:rFonts w:cs="Calibri"/>
                <w:lang w:eastAsia="en-AU"/>
              </w:rPr>
            </w:pPr>
            <w:r>
              <w:rPr>
                <w:rFonts w:cs="Calibri"/>
                <w:lang w:eastAsia="en-AU"/>
              </w:rPr>
              <w:t>26,390</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0.50m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Dubbo</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36,941</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0.47m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Tamworth</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42,255</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0.46m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Lismore</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29,413</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0.44m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Nowra</w:t>
            </w:r>
          </w:p>
        </w:tc>
        <w:tc>
          <w:tcPr>
            <w:tcW w:w="4253" w:type="dxa"/>
          </w:tcPr>
          <w:p w:rsidR="00147741" w:rsidRDefault="0089653F" w:rsidP="0089653F">
            <w:pPr>
              <w:autoSpaceDE w:val="0"/>
              <w:autoSpaceDN w:val="0"/>
              <w:adjustRightInd w:val="0"/>
              <w:spacing w:before="0" w:after="120"/>
              <w:jc w:val="center"/>
              <w:rPr>
                <w:rFonts w:cs="Calibri"/>
                <w:lang w:eastAsia="en-AU"/>
              </w:rPr>
            </w:pPr>
            <w:r>
              <w:rPr>
                <w:rFonts w:cs="Calibri"/>
                <w:lang w:eastAsia="en-AU"/>
              </w:rPr>
              <w:t>35,920</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0.44m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Port Macquarie</w:t>
            </w:r>
          </w:p>
        </w:tc>
        <w:tc>
          <w:tcPr>
            <w:tcW w:w="4253" w:type="dxa"/>
          </w:tcPr>
          <w:p w:rsidR="00147741" w:rsidRDefault="0089653F" w:rsidP="0089653F">
            <w:pPr>
              <w:autoSpaceDE w:val="0"/>
              <w:autoSpaceDN w:val="0"/>
              <w:adjustRightInd w:val="0"/>
              <w:spacing w:before="0" w:after="120"/>
              <w:jc w:val="center"/>
              <w:rPr>
                <w:rFonts w:cs="Calibri"/>
                <w:lang w:eastAsia="en-AU"/>
              </w:rPr>
            </w:pPr>
            <w:r>
              <w:rPr>
                <w:rFonts w:cs="Calibri"/>
                <w:lang w:eastAsia="en-AU"/>
              </w:rPr>
              <w:t>45,341</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0.43m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Armidale</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23,674</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0.43m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Bathurst</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36,013</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0.41m</w:t>
            </w:r>
            <w:r w:rsidRPr="00147741">
              <w:rPr>
                <w:rFonts w:cs="Calibri"/>
                <w:vertAlign w:val="superscript"/>
                <w:lang w:eastAsia="en-AU"/>
              </w:rPr>
              <w:t>2</w:t>
            </w:r>
          </w:p>
        </w:tc>
      </w:tr>
      <w:tr w:rsidR="00147741" w:rsidTr="0089653F">
        <w:tc>
          <w:tcPr>
            <w:tcW w:w="2376" w:type="dxa"/>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Wagga Wagga</w:t>
            </w:r>
          </w:p>
        </w:tc>
        <w:tc>
          <w:tcPr>
            <w:tcW w:w="4253" w:type="dxa"/>
          </w:tcPr>
          <w:p w:rsidR="00147741" w:rsidRDefault="0084324B" w:rsidP="0089653F">
            <w:pPr>
              <w:autoSpaceDE w:val="0"/>
              <w:autoSpaceDN w:val="0"/>
              <w:adjustRightInd w:val="0"/>
              <w:spacing w:before="0" w:after="120"/>
              <w:jc w:val="center"/>
              <w:rPr>
                <w:rFonts w:cs="Calibri"/>
                <w:lang w:eastAsia="en-AU"/>
              </w:rPr>
            </w:pPr>
            <w:r>
              <w:rPr>
                <w:rFonts w:cs="Calibri"/>
                <w:lang w:eastAsia="en-AU"/>
              </w:rPr>
              <w:t>55,820</w:t>
            </w:r>
          </w:p>
        </w:tc>
        <w:tc>
          <w:tcPr>
            <w:tcW w:w="2693" w:type="dxa"/>
          </w:tcPr>
          <w:p w:rsidR="00147741" w:rsidRDefault="00147741" w:rsidP="00147741">
            <w:pPr>
              <w:autoSpaceDE w:val="0"/>
              <w:autoSpaceDN w:val="0"/>
              <w:adjustRightInd w:val="0"/>
              <w:spacing w:before="0" w:after="120"/>
              <w:jc w:val="center"/>
              <w:rPr>
                <w:rFonts w:cs="Calibri"/>
                <w:lang w:eastAsia="en-AU"/>
              </w:rPr>
            </w:pPr>
            <w:r>
              <w:rPr>
                <w:rFonts w:cs="Calibri"/>
                <w:lang w:eastAsia="en-AU"/>
              </w:rPr>
              <w:t>0.40m</w:t>
            </w:r>
            <w:r w:rsidRPr="00147741">
              <w:rPr>
                <w:rFonts w:cs="Calibri"/>
                <w:vertAlign w:val="superscript"/>
                <w:lang w:eastAsia="en-AU"/>
              </w:rPr>
              <w:t>2</w:t>
            </w:r>
          </w:p>
        </w:tc>
      </w:tr>
      <w:tr w:rsidR="00147741" w:rsidTr="005C0548">
        <w:tc>
          <w:tcPr>
            <w:tcW w:w="2376" w:type="dxa"/>
            <w:tcBorders>
              <w:bottom w:val="single" w:sz="12" w:space="0" w:color="auto"/>
            </w:tcBorders>
          </w:tcPr>
          <w:p w:rsidR="00147741" w:rsidRPr="005C0548" w:rsidRDefault="00147741" w:rsidP="005C0548">
            <w:pPr>
              <w:autoSpaceDE w:val="0"/>
              <w:autoSpaceDN w:val="0"/>
              <w:adjustRightInd w:val="0"/>
              <w:spacing w:before="0" w:after="120"/>
              <w:jc w:val="center"/>
              <w:rPr>
                <w:rFonts w:cs="Calibri"/>
                <w:lang w:eastAsia="en-AU"/>
              </w:rPr>
            </w:pPr>
            <w:r w:rsidRPr="005C0548">
              <w:rPr>
                <w:rFonts w:cs="Calibri"/>
                <w:lang w:eastAsia="en-AU"/>
              </w:rPr>
              <w:t>Cessnock</w:t>
            </w:r>
          </w:p>
        </w:tc>
        <w:tc>
          <w:tcPr>
            <w:tcW w:w="4253" w:type="dxa"/>
            <w:tcBorders>
              <w:bottom w:val="single" w:sz="12" w:space="0" w:color="auto"/>
            </w:tcBorders>
          </w:tcPr>
          <w:p w:rsidR="00147741" w:rsidRDefault="0084324B" w:rsidP="0089653F">
            <w:pPr>
              <w:autoSpaceDE w:val="0"/>
              <w:autoSpaceDN w:val="0"/>
              <w:adjustRightInd w:val="0"/>
              <w:spacing w:before="0" w:after="120"/>
              <w:jc w:val="center"/>
              <w:rPr>
                <w:rFonts w:cs="Calibri"/>
                <w:lang w:eastAsia="en-AU"/>
              </w:rPr>
            </w:pPr>
            <w:r>
              <w:rPr>
                <w:rFonts w:cs="Calibri"/>
                <w:lang w:eastAsia="en-AU"/>
              </w:rPr>
              <w:t>22,596</w:t>
            </w:r>
          </w:p>
        </w:tc>
        <w:tc>
          <w:tcPr>
            <w:tcW w:w="2693" w:type="dxa"/>
            <w:tcBorders>
              <w:bottom w:val="single" w:sz="12" w:space="0" w:color="auto"/>
            </w:tcBorders>
          </w:tcPr>
          <w:p w:rsidR="00147741" w:rsidRDefault="00147741" w:rsidP="00147741">
            <w:pPr>
              <w:autoSpaceDE w:val="0"/>
              <w:autoSpaceDN w:val="0"/>
              <w:adjustRightInd w:val="0"/>
              <w:spacing w:before="0" w:after="120"/>
              <w:jc w:val="center"/>
              <w:rPr>
                <w:rFonts w:cs="Calibri"/>
                <w:lang w:eastAsia="en-AU"/>
              </w:rPr>
            </w:pPr>
            <w:r>
              <w:rPr>
                <w:rFonts w:cs="Calibri"/>
                <w:lang w:eastAsia="en-AU"/>
              </w:rPr>
              <w:t>0.39m</w:t>
            </w:r>
            <w:r w:rsidRPr="00147741">
              <w:rPr>
                <w:rFonts w:cs="Calibri"/>
                <w:vertAlign w:val="superscript"/>
                <w:lang w:eastAsia="en-AU"/>
              </w:rPr>
              <w:t>2</w:t>
            </w:r>
          </w:p>
        </w:tc>
      </w:tr>
      <w:tr w:rsidR="00147741" w:rsidRPr="005C0548" w:rsidTr="005C0548">
        <w:tc>
          <w:tcPr>
            <w:tcW w:w="2376" w:type="dxa"/>
            <w:tcBorders>
              <w:top w:val="single" w:sz="12" w:space="0" w:color="auto"/>
              <w:left w:val="single" w:sz="12" w:space="0" w:color="auto"/>
              <w:bottom w:val="single" w:sz="12" w:space="0" w:color="auto"/>
            </w:tcBorders>
            <w:shd w:val="pct5" w:color="auto" w:fill="auto"/>
          </w:tcPr>
          <w:p w:rsidR="00147741" w:rsidRPr="005C0548" w:rsidRDefault="00147741" w:rsidP="005C0548">
            <w:pPr>
              <w:autoSpaceDE w:val="0"/>
              <w:autoSpaceDN w:val="0"/>
              <w:adjustRightInd w:val="0"/>
              <w:spacing w:before="0" w:after="120"/>
              <w:jc w:val="center"/>
              <w:rPr>
                <w:rFonts w:cs="Calibri"/>
                <w:b/>
                <w:lang w:eastAsia="en-AU"/>
              </w:rPr>
            </w:pPr>
            <w:r w:rsidRPr="005C0548">
              <w:rPr>
                <w:rFonts w:cs="Calibri"/>
                <w:b/>
                <w:lang w:eastAsia="en-AU"/>
              </w:rPr>
              <w:t>Orange</w:t>
            </w:r>
          </w:p>
        </w:tc>
        <w:tc>
          <w:tcPr>
            <w:tcW w:w="4253" w:type="dxa"/>
            <w:tcBorders>
              <w:top w:val="single" w:sz="12" w:space="0" w:color="auto"/>
              <w:bottom w:val="single" w:sz="12" w:space="0" w:color="auto"/>
            </w:tcBorders>
            <w:shd w:val="pct5" w:color="auto" w:fill="auto"/>
          </w:tcPr>
          <w:p w:rsidR="00147741" w:rsidRPr="005C0548" w:rsidRDefault="0084324B" w:rsidP="0089653F">
            <w:pPr>
              <w:autoSpaceDE w:val="0"/>
              <w:autoSpaceDN w:val="0"/>
              <w:adjustRightInd w:val="0"/>
              <w:spacing w:before="0" w:after="120"/>
              <w:jc w:val="center"/>
              <w:rPr>
                <w:rFonts w:cs="Calibri"/>
                <w:b/>
                <w:lang w:eastAsia="en-AU"/>
              </w:rPr>
            </w:pPr>
            <w:r w:rsidRPr="005C0548">
              <w:rPr>
                <w:rFonts w:cs="Calibri"/>
                <w:b/>
                <w:lang w:eastAsia="en-AU"/>
              </w:rPr>
              <w:t>40,075</w:t>
            </w:r>
          </w:p>
        </w:tc>
        <w:tc>
          <w:tcPr>
            <w:tcW w:w="2693" w:type="dxa"/>
            <w:tcBorders>
              <w:top w:val="single" w:sz="12" w:space="0" w:color="auto"/>
              <w:bottom w:val="single" w:sz="12" w:space="0" w:color="auto"/>
              <w:right w:val="single" w:sz="12" w:space="0" w:color="auto"/>
            </w:tcBorders>
            <w:shd w:val="pct5" w:color="auto" w:fill="auto"/>
          </w:tcPr>
          <w:p w:rsidR="00147741" w:rsidRPr="005C0548" w:rsidRDefault="00147741" w:rsidP="00147741">
            <w:pPr>
              <w:autoSpaceDE w:val="0"/>
              <w:autoSpaceDN w:val="0"/>
              <w:adjustRightInd w:val="0"/>
              <w:spacing w:before="0" w:after="120"/>
              <w:jc w:val="center"/>
              <w:rPr>
                <w:rFonts w:cs="Calibri"/>
                <w:b/>
                <w:lang w:eastAsia="en-AU"/>
              </w:rPr>
            </w:pPr>
            <w:r w:rsidRPr="005C0548">
              <w:rPr>
                <w:rFonts w:cs="Calibri"/>
                <w:b/>
                <w:lang w:eastAsia="en-AU"/>
              </w:rPr>
              <w:t>0.37m</w:t>
            </w:r>
            <w:r w:rsidRPr="005C0548">
              <w:rPr>
                <w:rFonts w:cs="Calibri"/>
                <w:b/>
                <w:vertAlign w:val="superscript"/>
                <w:lang w:eastAsia="en-AU"/>
              </w:rPr>
              <w:t>2</w:t>
            </w:r>
          </w:p>
        </w:tc>
      </w:tr>
    </w:tbl>
    <w:p w:rsidR="00147741" w:rsidRDefault="0089653F" w:rsidP="00F0292E">
      <w:pPr>
        <w:autoSpaceDE w:val="0"/>
        <w:autoSpaceDN w:val="0"/>
        <w:adjustRightInd w:val="0"/>
        <w:spacing w:before="0" w:after="120"/>
        <w:rPr>
          <w:rFonts w:cs="Calibri"/>
          <w:lang w:eastAsia="en-AU"/>
        </w:rPr>
      </w:pPr>
      <w:r>
        <w:rPr>
          <w:rFonts w:cs="Calibri"/>
          <w:lang w:eastAsia="en-AU"/>
        </w:rPr>
        <w:t>Note: the floor space ratio estimate is related to a population catchment that has a 15km radius which in most cases extends beyond the significant urban area for the population figure.</w:t>
      </w:r>
    </w:p>
    <w:p w:rsidR="008064EB" w:rsidRDefault="008064EB" w:rsidP="008064EB">
      <w:pPr>
        <w:autoSpaceDE w:val="0"/>
        <w:autoSpaceDN w:val="0"/>
        <w:adjustRightInd w:val="0"/>
        <w:spacing w:before="0" w:after="120"/>
        <w:rPr>
          <w:rFonts w:cs="Calibri"/>
          <w:lang w:eastAsia="en-AU"/>
        </w:rPr>
      </w:pPr>
      <w:r>
        <w:rPr>
          <w:rFonts w:cs="Calibri"/>
          <w:lang w:eastAsia="en-AU"/>
        </w:rPr>
        <w:t>Each analysis agrees that a contemporary full line supermarket is 4,000m</w:t>
      </w:r>
      <w:r w:rsidRPr="008064EB">
        <w:rPr>
          <w:rFonts w:cs="Calibri"/>
          <w:vertAlign w:val="superscript"/>
          <w:lang w:eastAsia="en-AU"/>
        </w:rPr>
        <w:t>2</w:t>
      </w:r>
      <w:r>
        <w:rPr>
          <w:rFonts w:cs="Calibri"/>
          <w:lang w:eastAsia="en-AU"/>
        </w:rPr>
        <w:t xml:space="preserve"> of floor space would require a catchment population of 8,000 – 10,000 to be viable. In this regard the 7 current supermarkets have a floor space equivalent of 4.05 full line supermarkets. The current population of Orange at 40,000 could therefore support 5 full line supermarkets.</w:t>
      </w:r>
    </w:p>
    <w:p w:rsidR="008064EB" w:rsidRDefault="00D220D1" w:rsidP="00F0292E">
      <w:pPr>
        <w:autoSpaceDE w:val="0"/>
        <w:autoSpaceDN w:val="0"/>
        <w:adjustRightInd w:val="0"/>
        <w:spacing w:before="0" w:after="120"/>
        <w:rPr>
          <w:rFonts w:cs="Calibri"/>
          <w:b/>
          <w:lang w:eastAsia="en-AU"/>
        </w:rPr>
      </w:pPr>
      <w:r>
        <w:rPr>
          <w:rFonts w:cs="Calibri"/>
          <w:b/>
          <w:lang w:eastAsia="en-AU"/>
        </w:rPr>
        <w:t xml:space="preserve">Population projections </w:t>
      </w:r>
    </w:p>
    <w:p w:rsidR="00E21E93" w:rsidRPr="00E21E93" w:rsidRDefault="00E21E93" w:rsidP="00F0292E">
      <w:pPr>
        <w:autoSpaceDE w:val="0"/>
        <w:autoSpaceDN w:val="0"/>
        <w:adjustRightInd w:val="0"/>
        <w:spacing w:before="0" w:after="120"/>
        <w:rPr>
          <w:rFonts w:cs="Calibri"/>
          <w:lang w:eastAsia="en-AU"/>
        </w:rPr>
      </w:pPr>
      <w:r w:rsidRPr="00E21E93">
        <w:rPr>
          <w:rFonts w:cs="Calibri"/>
          <w:lang w:eastAsia="en-AU"/>
        </w:rPr>
        <w:t>The regional</w:t>
      </w:r>
      <w:r>
        <w:rPr>
          <w:rFonts w:cs="Calibri"/>
          <w:lang w:eastAsia="en-AU"/>
        </w:rPr>
        <w:t xml:space="preserve"> catchment of Orange generally corresponds to the local government areas of Orange, </w:t>
      </w:r>
      <w:proofErr w:type="spellStart"/>
      <w:r>
        <w:rPr>
          <w:rFonts w:cs="Calibri"/>
          <w:lang w:eastAsia="en-AU"/>
        </w:rPr>
        <w:t>Cabonne</w:t>
      </w:r>
      <w:proofErr w:type="spellEnd"/>
      <w:r>
        <w:rPr>
          <w:rFonts w:cs="Calibri"/>
          <w:lang w:eastAsia="en-AU"/>
        </w:rPr>
        <w:t xml:space="preserve"> and Blayney – although for some higher level services it would draw on a wider area. The current 2016 population estimate is 65,550 people of which two-thirds or 42,200 people live in Orange. Following a more stagnant period from 2001 – 2006</w:t>
      </w:r>
      <w:r w:rsidR="00B34F7B">
        <w:rPr>
          <w:rFonts w:cs="Calibri"/>
          <w:lang w:eastAsia="en-AU"/>
        </w:rPr>
        <w:t xml:space="preserve"> g</w:t>
      </w:r>
      <w:r>
        <w:rPr>
          <w:rFonts w:cs="Calibri"/>
          <w:lang w:eastAsia="en-AU"/>
        </w:rPr>
        <w:t>rowth has been relatively strong. Solid growth is projected to continue over the short to medium term out to 2031 as shown in the chart below.</w:t>
      </w:r>
    </w:p>
    <w:p w:rsidR="008064EB" w:rsidRDefault="009857EE" w:rsidP="00F0292E">
      <w:pPr>
        <w:autoSpaceDE w:val="0"/>
        <w:autoSpaceDN w:val="0"/>
        <w:adjustRightInd w:val="0"/>
        <w:spacing w:before="0" w:after="120"/>
        <w:rPr>
          <w:rFonts w:cs="Calibri"/>
          <w:lang w:eastAsia="en-AU"/>
        </w:rPr>
      </w:pPr>
      <w:r>
        <w:rPr>
          <w:noProof/>
          <w:lang w:eastAsia="en-AU"/>
        </w:rPr>
        <w:drawing>
          <wp:inline distT="0" distB="0" distL="0" distR="0" wp14:anchorId="1A970E00" wp14:editId="58126E01">
            <wp:extent cx="5732145" cy="355346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553460"/>
                    </a:xfrm>
                    <a:prstGeom prst="rect">
                      <a:avLst/>
                    </a:prstGeom>
                  </pic:spPr>
                </pic:pic>
              </a:graphicData>
            </a:graphic>
          </wp:inline>
        </w:drawing>
      </w:r>
    </w:p>
    <w:p w:rsidR="00E21E93" w:rsidRDefault="00E21E93" w:rsidP="00F0292E">
      <w:pPr>
        <w:autoSpaceDE w:val="0"/>
        <w:autoSpaceDN w:val="0"/>
        <w:adjustRightInd w:val="0"/>
        <w:spacing w:before="0" w:after="120"/>
        <w:rPr>
          <w:rFonts w:cs="Calibri"/>
          <w:b/>
          <w:sz w:val="20"/>
          <w:lang w:eastAsia="en-AU"/>
        </w:rPr>
      </w:pPr>
      <w:r w:rsidRPr="00E21E93">
        <w:rPr>
          <w:rFonts w:cs="Calibri"/>
          <w:b/>
          <w:sz w:val="20"/>
          <w:lang w:eastAsia="en-AU"/>
        </w:rPr>
        <w:t xml:space="preserve">Source – Aldi analysis prepared by Deep End Services </w:t>
      </w:r>
    </w:p>
    <w:p w:rsidR="00416325" w:rsidRDefault="00B34F7B" w:rsidP="00F0292E">
      <w:pPr>
        <w:autoSpaceDE w:val="0"/>
        <w:autoSpaceDN w:val="0"/>
        <w:adjustRightInd w:val="0"/>
        <w:spacing w:before="0" w:after="120"/>
        <w:rPr>
          <w:rFonts w:cs="Calibri"/>
          <w:lang w:eastAsia="en-AU"/>
        </w:rPr>
      </w:pPr>
      <w:r w:rsidRPr="00B34F7B">
        <w:rPr>
          <w:rFonts w:cs="Calibri"/>
          <w:lang w:eastAsia="en-AU"/>
        </w:rPr>
        <w:t>This will increase the capacity of Orange to support additional supermarket floor</w:t>
      </w:r>
      <w:r>
        <w:rPr>
          <w:rFonts w:cs="Calibri"/>
          <w:lang w:eastAsia="en-AU"/>
        </w:rPr>
        <w:t xml:space="preserve"> </w:t>
      </w:r>
      <w:r w:rsidRPr="00B34F7B">
        <w:rPr>
          <w:rFonts w:cs="Calibri"/>
          <w:lang w:eastAsia="en-AU"/>
        </w:rPr>
        <w:t>space</w:t>
      </w:r>
      <w:r>
        <w:rPr>
          <w:rFonts w:cs="Calibri"/>
          <w:lang w:eastAsia="en-AU"/>
        </w:rPr>
        <w:t>.</w:t>
      </w:r>
      <w:r w:rsidRPr="00B34F7B">
        <w:rPr>
          <w:rFonts w:cs="Calibri"/>
          <w:lang w:eastAsia="en-AU"/>
        </w:rPr>
        <w:t xml:space="preserve"> </w:t>
      </w:r>
      <w:r>
        <w:rPr>
          <w:rFonts w:cs="Calibri"/>
          <w:lang w:eastAsia="en-AU"/>
        </w:rPr>
        <w:t>Any impacts upon the CBD are therefore likely to be temporary, particularly as urban growth switches from North Orange to southern areas such as Shiralee as southern residents are more likely to shop in the CBD due to proximity</w:t>
      </w:r>
      <w:r w:rsidR="00416325">
        <w:rPr>
          <w:rFonts w:cs="Calibri"/>
          <w:lang w:eastAsia="en-AU"/>
        </w:rPr>
        <w:t>, until such time as a southern shopping centre emerges in response to population growth</w:t>
      </w:r>
      <w:r>
        <w:rPr>
          <w:rFonts w:cs="Calibri"/>
          <w:lang w:eastAsia="en-AU"/>
        </w:rPr>
        <w:t>.</w:t>
      </w:r>
      <w:r w:rsidR="00416325">
        <w:rPr>
          <w:rFonts w:cs="Calibri"/>
          <w:lang w:eastAsia="en-AU"/>
        </w:rPr>
        <w:t xml:space="preserve"> </w:t>
      </w:r>
    </w:p>
    <w:p w:rsidR="00E21E93" w:rsidRDefault="00416325" w:rsidP="00F0292E">
      <w:pPr>
        <w:autoSpaceDE w:val="0"/>
        <w:autoSpaceDN w:val="0"/>
        <w:adjustRightInd w:val="0"/>
        <w:spacing w:before="0" w:after="120"/>
        <w:rPr>
          <w:rFonts w:cs="Calibri"/>
          <w:lang w:eastAsia="en-AU"/>
        </w:rPr>
      </w:pPr>
      <w:r>
        <w:rPr>
          <w:rFonts w:cs="Calibri"/>
          <w:lang w:eastAsia="en-AU"/>
        </w:rPr>
        <w:t>In the longer term CBD dominance would rely upon a combination of balancing urban growth geographically so that the CBD remains central to all</w:t>
      </w:r>
      <w:r w:rsidR="007602EF">
        <w:rPr>
          <w:rFonts w:cs="Calibri"/>
          <w:lang w:eastAsia="en-AU"/>
        </w:rPr>
        <w:t xml:space="preserve">, </w:t>
      </w:r>
      <w:r>
        <w:rPr>
          <w:rFonts w:cs="Calibri"/>
          <w:lang w:eastAsia="en-AU"/>
        </w:rPr>
        <w:t xml:space="preserve">carefully increasing residential density of </w:t>
      </w:r>
      <w:r w:rsidR="002C78F2">
        <w:rPr>
          <w:rFonts w:cs="Calibri"/>
          <w:lang w:eastAsia="en-AU"/>
        </w:rPr>
        <w:t>“inner”</w:t>
      </w:r>
      <w:r>
        <w:rPr>
          <w:rFonts w:cs="Calibri"/>
          <w:lang w:eastAsia="en-AU"/>
        </w:rPr>
        <w:t xml:space="preserve"> Orange</w:t>
      </w:r>
      <w:r w:rsidR="007602EF">
        <w:rPr>
          <w:rFonts w:cs="Calibri"/>
          <w:lang w:eastAsia="en-AU"/>
        </w:rPr>
        <w:t>, and providing higher order goods and services to draw trade from across the region</w:t>
      </w:r>
      <w:r>
        <w:rPr>
          <w:rFonts w:cs="Calibri"/>
          <w:lang w:eastAsia="en-AU"/>
        </w:rPr>
        <w:t>.</w:t>
      </w:r>
    </w:p>
    <w:p w:rsidR="00CD1BAB" w:rsidRPr="00500791" w:rsidRDefault="007F1740" w:rsidP="00CD1BAB">
      <w:pPr>
        <w:autoSpaceDE w:val="0"/>
        <w:autoSpaceDN w:val="0"/>
        <w:adjustRightInd w:val="0"/>
        <w:spacing w:before="0"/>
        <w:jc w:val="left"/>
        <w:rPr>
          <w:rFonts w:asciiTheme="minorHAnsi" w:hAnsiTheme="minorHAnsi" w:cs="Calibri,Bold"/>
          <w:b/>
          <w:bCs/>
          <w:lang w:eastAsia="en-AU"/>
        </w:rPr>
      </w:pPr>
      <w:r w:rsidRPr="00500791">
        <w:rPr>
          <w:rFonts w:asciiTheme="minorHAnsi" w:hAnsiTheme="minorHAnsi" w:cs="Calibri,Bold"/>
          <w:b/>
          <w:bCs/>
          <w:lang w:eastAsia="en-AU"/>
        </w:rPr>
        <w:t xml:space="preserve">Traffic Implications </w:t>
      </w:r>
    </w:p>
    <w:p w:rsidR="00CD1BAB" w:rsidRDefault="00CD1BAB" w:rsidP="00F0292E">
      <w:pPr>
        <w:autoSpaceDE w:val="0"/>
        <w:autoSpaceDN w:val="0"/>
        <w:adjustRightInd w:val="0"/>
        <w:spacing w:before="0" w:after="120"/>
        <w:rPr>
          <w:rFonts w:cs="Calibri"/>
          <w:lang w:eastAsia="en-AU"/>
        </w:rPr>
      </w:pPr>
      <w:r>
        <w:rPr>
          <w:rFonts w:cs="Calibri"/>
          <w:lang w:eastAsia="en-AU"/>
        </w:rPr>
        <w:t>The proponent supplied a traffic review in support of the proposal. It should be noted that</w:t>
      </w:r>
      <w:r w:rsidR="00F16523">
        <w:rPr>
          <w:rFonts w:cs="Calibri"/>
          <w:lang w:eastAsia="en-AU"/>
        </w:rPr>
        <w:t xml:space="preserve"> </w:t>
      </w:r>
      <w:r>
        <w:rPr>
          <w:rFonts w:cs="Calibri"/>
          <w:lang w:eastAsia="en-AU"/>
        </w:rPr>
        <w:t>their review was prepared on the basis of the additional supermarket floor space</w:t>
      </w:r>
      <w:r w:rsidR="00F16523">
        <w:rPr>
          <w:rFonts w:cs="Calibri"/>
          <w:lang w:eastAsia="en-AU"/>
        </w:rPr>
        <w:t xml:space="preserve"> </w:t>
      </w:r>
      <w:r>
        <w:rPr>
          <w:rFonts w:cs="Calibri"/>
          <w:lang w:eastAsia="en-AU"/>
        </w:rPr>
        <w:t>(total 4,800m</w:t>
      </w:r>
      <w:r w:rsidR="00F0292E" w:rsidRPr="00F0292E">
        <w:rPr>
          <w:rFonts w:cs="Calibri"/>
          <w:vertAlign w:val="superscript"/>
          <w:lang w:eastAsia="en-AU"/>
        </w:rPr>
        <w:t>2</w:t>
      </w:r>
      <w:r>
        <w:rPr>
          <w:rFonts w:cs="Calibri"/>
          <w:lang w:eastAsia="en-AU"/>
        </w:rPr>
        <w:t>) and the additional specialty retail area (1</w:t>
      </w:r>
      <w:r w:rsidR="00F11DE8">
        <w:rPr>
          <w:rFonts w:cs="Calibri"/>
          <w:lang w:eastAsia="en-AU"/>
        </w:rPr>
        <w:t>,</w:t>
      </w:r>
      <w:r>
        <w:rPr>
          <w:rFonts w:cs="Calibri"/>
          <w:lang w:eastAsia="en-AU"/>
        </w:rPr>
        <w:t>500m</w:t>
      </w:r>
      <w:r w:rsidR="00F0292E" w:rsidRPr="00F0292E">
        <w:rPr>
          <w:rFonts w:cs="Calibri"/>
          <w:vertAlign w:val="superscript"/>
          <w:lang w:eastAsia="en-AU"/>
        </w:rPr>
        <w:t>2</w:t>
      </w:r>
      <w:r>
        <w:rPr>
          <w:rFonts w:cs="Calibri"/>
          <w:lang w:eastAsia="en-AU"/>
        </w:rPr>
        <w:t>), but excluded the “future</w:t>
      </w:r>
      <w:r w:rsidR="00F16523">
        <w:rPr>
          <w:rFonts w:cs="Calibri"/>
          <w:lang w:eastAsia="en-AU"/>
        </w:rPr>
        <w:t xml:space="preserve"> </w:t>
      </w:r>
      <w:r>
        <w:rPr>
          <w:rFonts w:cs="Calibri"/>
          <w:lang w:eastAsia="en-AU"/>
        </w:rPr>
        <w:t>retail” area of 1</w:t>
      </w:r>
      <w:r w:rsidR="00F11DE8">
        <w:rPr>
          <w:rFonts w:cs="Calibri"/>
          <w:lang w:eastAsia="en-AU"/>
        </w:rPr>
        <w:t>,</w:t>
      </w:r>
      <w:r>
        <w:rPr>
          <w:rFonts w:cs="Calibri"/>
          <w:lang w:eastAsia="en-AU"/>
        </w:rPr>
        <w:t>400m</w:t>
      </w:r>
      <w:r w:rsidR="00F0292E" w:rsidRPr="00F0292E">
        <w:rPr>
          <w:rFonts w:cs="Calibri"/>
          <w:vertAlign w:val="superscript"/>
          <w:lang w:eastAsia="en-AU"/>
        </w:rPr>
        <w:t>2</w:t>
      </w:r>
      <w:r>
        <w:rPr>
          <w:rFonts w:cs="Calibri"/>
          <w:lang w:eastAsia="en-AU"/>
        </w:rPr>
        <w:t>. The traffic review also limited its calculations to the short to midterm</w:t>
      </w:r>
      <w:r w:rsidR="00F16523">
        <w:rPr>
          <w:rFonts w:cs="Calibri"/>
          <w:lang w:eastAsia="en-AU"/>
        </w:rPr>
        <w:t xml:space="preserve"> </w:t>
      </w:r>
      <w:r>
        <w:rPr>
          <w:rFonts w:cs="Calibri"/>
          <w:lang w:eastAsia="en-AU"/>
        </w:rPr>
        <w:t>horizon, despite acknowledging that the long term demand would be higher. Finally,</w:t>
      </w:r>
      <w:r w:rsidR="00F16523">
        <w:rPr>
          <w:rFonts w:cs="Calibri"/>
          <w:lang w:eastAsia="en-AU"/>
        </w:rPr>
        <w:t xml:space="preserve"> </w:t>
      </w:r>
      <w:r>
        <w:rPr>
          <w:rFonts w:cs="Calibri"/>
          <w:lang w:eastAsia="en-AU"/>
        </w:rPr>
        <w:t>the traffic review notes that Council has identified an east-west link road between the</w:t>
      </w:r>
      <w:r w:rsidR="00F16523">
        <w:rPr>
          <w:rFonts w:cs="Calibri"/>
          <w:lang w:eastAsia="en-AU"/>
        </w:rPr>
        <w:t xml:space="preserve"> </w:t>
      </w:r>
      <w:r>
        <w:rPr>
          <w:rFonts w:cs="Calibri"/>
          <w:lang w:eastAsia="en-AU"/>
        </w:rPr>
        <w:t>northern end of Telopea Way and William Maker Drive as part of the preferred solution to</w:t>
      </w:r>
      <w:r w:rsidR="00F16523">
        <w:rPr>
          <w:rFonts w:cs="Calibri"/>
          <w:lang w:eastAsia="en-AU"/>
        </w:rPr>
        <w:t xml:space="preserve"> </w:t>
      </w:r>
      <w:r>
        <w:rPr>
          <w:rFonts w:cs="Calibri"/>
          <w:lang w:eastAsia="en-AU"/>
        </w:rPr>
        <w:t xml:space="preserve">the local traffic concerns. Additional elements of the traffic solution </w:t>
      </w:r>
      <w:r w:rsidR="00CA09AE">
        <w:rPr>
          <w:rFonts w:cs="Calibri"/>
          <w:lang w:eastAsia="en-AU"/>
        </w:rPr>
        <w:t xml:space="preserve">potentially </w:t>
      </w:r>
      <w:r>
        <w:rPr>
          <w:rFonts w:cs="Calibri"/>
          <w:lang w:eastAsia="en-AU"/>
        </w:rPr>
        <w:t>include a slip lane into</w:t>
      </w:r>
      <w:r w:rsidR="00F16523">
        <w:rPr>
          <w:rFonts w:cs="Calibri"/>
          <w:lang w:eastAsia="en-AU"/>
        </w:rPr>
        <w:t xml:space="preserve"> </w:t>
      </w:r>
      <w:r>
        <w:rPr>
          <w:rFonts w:cs="Calibri"/>
          <w:lang w:eastAsia="en-AU"/>
        </w:rPr>
        <w:t>Farrell Road from Telopea Way</w:t>
      </w:r>
      <w:r w:rsidR="00CA09AE">
        <w:rPr>
          <w:rFonts w:cs="Calibri"/>
          <w:lang w:eastAsia="en-AU"/>
        </w:rPr>
        <w:t>, this requires further investigation</w:t>
      </w:r>
      <w:r>
        <w:rPr>
          <w:rFonts w:cs="Calibri"/>
          <w:lang w:eastAsia="en-AU"/>
        </w:rPr>
        <w:t>.</w:t>
      </w:r>
    </w:p>
    <w:p w:rsidR="00097080" w:rsidRDefault="00097080">
      <w:pPr>
        <w:spacing w:before="0"/>
        <w:jc w:val="left"/>
        <w:rPr>
          <w:rFonts w:cs="Calibri"/>
          <w:lang w:eastAsia="en-AU"/>
        </w:rPr>
      </w:pPr>
      <w:r>
        <w:rPr>
          <w:rFonts w:cs="Calibri"/>
          <w:lang w:eastAsia="en-AU"/>
        </w:rPr>
        <w:br w:type="page"/>
      </w:r>
    </w:p>
    <w:p w:rsidR="00CD1BAB" w:rsidRDefault="00CD1BAB" w:rsidP="00F0292E">
      <w:pPr>
        <w:autoSpaceDE w:val="0"/>
        <w:autoSpaceDN w:val="0"/>
        <w:adjustRightInd w:val="0"/>
        <w:spacing w:before="0" w:after="120"/>
        <w:rPr>
          <w:rFonts w:cs="Calibri"/>
          <w:lang w:eastAsia="en-AU"/>
        </w:rPr>
      </w:pPr>
      <w:r>
        <w:rPr>
          <w:rFonts w:cs="Calibri"/>
          <w:lang w:eastAsia="en-AU"/>
        </w:rPr>
        <w:t>The intent of the relief link is to provide a relief route for local traffic so that residents to the</w:t>
      </w:r>
      <w:r w:rsidR="00F16523">
        <w:rPr>
          <w:rFonts w:cs="Calibri"/>
          <w:lang w:eastAsia="en-AU"/>
        </w:rPr>
        <w:t xml:space="preserve"> </w:t>
      </w:r>
      <w:r>
        <w:rPr>
          <w:rFonts w:cs="Calibri"/>
          <w:lang w:eastAsia="en-AU"/>
        </w:rPr>
        <w:t>north and west will be able to avoid the NDR intersection. Accordingly, should the proposal</w:t>
      </w:r>
      <w:r w:rsidR="00F16523">
        <w:rPr>
          <w:rFonts w:cs="Calibri"/>
          <w:lang w:eastAsia="en-AU"/>
        </w:rPr>
        <w:t xml:space="preserve"> </w:t>
      </w:r>
      <w:r>
        <w:rPr>
          <w:rFonts w:cs="Calibri"/>
          <w:lang w:eastAsia="en-AU"/>
        </w:rPr>
        <w:t>be supported SCA would be required to contribute a reasonable apportionment of costs for</w:t>
      </w:r>
      <w:r w:rsidR="00F16523">
        <w:rPr>
          <w:rFonts w:cs="Calibri"/>
          <w:lang w:eastAsia="en-AU"/>
        </w:rPr>
        <w:t xml:space="preserve"> </w:t>
      </w:r>
      <w:r>
        <w:rPr>
          <w:rFonts w:cs="Calibri"/>
          <w:lang w:eastAsia="en-AU"/>
        </w:rPr>
        <w:t xml:space="preserve">the traffic solution including the relief link road and slip lane. </w:t>
      </w:r>
      <w:r w:rsidR="00CF6551">
        <w:rPr>
          <w:rFonts w:cs="Calibri"/>
          <w:lang w:eastAsia="en-AU"/>
        </w:rPr>
        <w:t>In addition a precinct-wide traffic analysis has been undertaken for this area, from Hill St to Farrell Rd/Telopea Way and Clergate Rd along the NDR to assess the overall traffic impacts on the area of additional residential and commercial development in the future. This assessment will identify a range of intersection improvement works which will be required over time, and a process developed for apportioning contributions from individu</w:t>
      </w:r>
      <w:bookmarkStart w:id="15" w:name="_GoBack"/>
      <w:bookmarkEnd w:id="15"/>
      <w:r w:rsidR="00CF6551">
        <w:rPr>
          <w:rFonts w:cs="Calibri"/>
          <w:lang w:eastAsia="en-AU"/>
        </w:rPr>
        <w:t xml:space="preserve">al developments to cover the cost of these upgrades. </w:t>
      </w:r>
      <w:r>
        <w:rPr>
          <w:rFonts w:cs="Calibri"/>
          <w:lang w:eastAsia="en-AU"/>
        </w:rPr>
        <w:t>The financial contribution</w:t>
      </w:r>
      <w:r w:rsidR="00F16523">
        <w:rPr>
          <w:rFonts w:cs="Calibri"/>
          <w:lang w:eastAsia="en-AU"/>
        </w:rPr>
        <w:t xml:space="preserve"> </w:t>
      </w:r>
      <w:r>
        <w:rPr>
          <w:rFonts w:cs="Calibri"/>
          <w:lang w:eastAsia="en-AU"/>
        </w:rPr>
        <w:t>required would become the subject of a Voluntary Planning Agreement between</w:t>
      </w:r>
      <w:r w:rsidR="00F16523">
        <w:rPr>
          <w:rFonts w:cs="Calibri"/>
          <w:lang w:eastAsia="en-AU"/>
        </w:rPr>
        <w:t xml:space="preserve"> </w:t>
      </w:r>
      <w:r>
        <w:rPr>
          <w:rFonts w:cs="Calibri"/>
          <w:lang w:eastAsia="en-AU"/>
        </w:rPr>
        <w:t>Council and the developer. The propone</w:t>
      </w:r>
      <w:r w:rsidR="00CF6551">
        <w:rPr>
          <w:rFonts w:cs="Calibri"/>
          <w:lang w:eastAsia="en-AU"/>
        </w:rPr>
        <w:t xml:space="preserve">nt (SCA) has been advised of this work </w:t>
      </w:r>
      <w:r>
        <w:rPr>
          <w:rFonts w:cs="Calibri"/>
          <w:lang w:eastAsia="en-AU"/>
        </w:rPr>
        <w:t>and have acknowledged that their proposal would add to the need for the</w:t>
      </w:r>
      <w:r w:rsidR="00F16523">
        <w:rPr>
          <w:rFonts w:cs="Calibri"/>
          <w:lang w:eastAsia="en-AU"/>
        </w:rPr>
        <w:t xml:space="preserve"> </w:t>
      </w:r>
      <w:r>
        <w:rPr>
          <w:rFonts w:cs="Calibri"/>
          <w:lang w:eastAsia="en-AU"/>
        </w:rPr>
        <w:t>roadworks involved.</w:t>
      </w:r>
    </w:p>
    <w:p w:rsidR="00CD1BAB" w:rsidRDefault="00CD1BAB" w:rsidP="00F0292E">
      <w:pPr>
        <w:autoSpaceDE w:val="0"/>
        <w:autoSpaceDN w:val="0"/>
        <w:adjustRightInd w:val="0"/>
        <w:spacing w:before="0" w:after="120"/>
        <w:rPr>
          <w:rFonts w:cs="Calibri"/>
          <w:lang w:eastAsia="en-AU"/>
        </w:rPr>
      </w:pPr>
      <w:r w:rsidRPr="00BC22E1">
        <w:rPr>
          <w:rFonts w:cs="Calibri"/>
          <w:lang w:eastAsia="en-AU"/>
        </w:rPr>
        <w:t>In the long term, when the area is fully developed the proposal is anticipated to generate an</w:t>
      </w:r>
      <w:r w:rsidR="00F16523" w:rsidRPr="00BC22E1">
        <w:rPr>
          <w:rFonts w:cs="Calibri"/>
          <w:lang w:eastAsia="en-AU"/>
        </w:rPr>
        <w:t xml:space="preserve"> </w:t>
      </w:r>
      <w:r w:rsidRPr="00BC22E1">
        <w:rPr>
          <w:rFonts w:cs="Calibri"/>
          <w:lang w:eastAsia="en-AU"/>
        </w:rPr>
        <w:t>additional 800 vehicles per hour (two-way) in the weekday afternoon peak hour. Assuming</w:t>
      </w:r>
      <w:r w:rsidR="00F16523" w:rsidRPr="00BC22E1">
        <w:rPr>
          <w:rFonts w:cs="Calibri"/>
          <w:lang w:eastAsia="en-AU"/>
        </w:rPr>
        <w:t xml:space="preserve"> </w:t>
      </w:r>
      <w:r w:rsidRPr="00BC22E1">
        <w:rPr>
          <w:rFonts w:cs="Calibri"/>
          <w:lang w:eastAsia="en-AU"/>
        </w:rPr>
        <w:t>an even distribution during the peak period, this equates to an additional movement</w:t>
      </w:r>
      <w:r w:rsidR="00F16523" w:rsidRPr="00BC22E1">
        <w:rPr>
          <w:rFonts w:cs="Calibri"/>
          <w:lang w:eastAsia="en-AU"/>
        </w:rPr>
        <w:t xml:space="preserve"> </w:t>
      </w:r>
      <w:r w:rsidRPr="00BC22E1">
        <w:rPr>
          <w:rFonts w:cs="Calibri"/>
          <w:lang w:eastAsia="en-AU"/>
        </w:rPr>
        <w:t>every 4.5 seconds. In the short to medium term the proponent argues that traffic</w:t>
      </w:r>
      <w:r w:rsidR="00F16523" w:rsidRPr="00BC22E1">
        <w:rPr>
          <w:rFonts w:cs="Calibri"/>
          <w:lang w:eastAsia="en-AU"/>
        </w:rPr>
        <w:t xml:space="preserve"> </w:t>
      </w:r>
      <w:r w:rsidRPr="00BC22E1">
        <w:rPr>
          <w:rFonts w:cs="Calibri"/>
          <w:lang w:eastAsia="en-AU"/>
        </w:rPr>
        <w:t>generation during the peak hour would be in the order of 450 vehicles per hour (two-way),</w:t>
      </w:r>
      <w:r w:rsidR="00F16523" w:rsidRPr="00BC22E1">
        <w:rPr>
          <w:rFonts w:cs="Calibri"/>
          <w:lang w:eastAsia="en-AU"/>
        </w:rPr>
        <w:t xml:space="preserve"> </w:t>
      </w:r>
      <w:r w:rsidRPr="00BC22E1">
        <w:rPr>
          <w:rFonts w:cs="Calibri"/>
          <w:lang w:eastAsia="en-AU"/>
        </w:rPr>
        <w:t>or an additional movement every 8 seconds, assuming even distribution during the peak.</w:t>
      </w:r>
    </w:p>
    <w:p w:rsidR="00CD1BAB" w:rsidRPr="00500791" w:rsidRDefault="00500791" w:rsidP="00CD1BAB">
      <w:pPr>
        <w:autoSpaceDE w:val="0"/>
        <w:autoSpaceDN w:val="0"/>
        <w:adjustRightInd w:val="0"/>
        <w:spacing w:before="0"/>
        <w:jc w:val="left"/>
        <w:rPr>
          <w:rFonts w:asciiTheme="minorHAnsi" w:hAnsiTheme="minorHAnsi" w:cs="Calibri,Bold"/>
          <w:b/>
          <w:bCs/>
          <w:lang w:eastAsia="en-AU"/>
        </w:rPr>
      </w:pPr>
      <w:r w:rsidRPr="00500791">
        <w:rPr>
          <w:rFonts w:asciiTheme="minorHAnsi" w:hAnsiTheme="minorHAnsi" w:cs="Calibri,Bold"/>
          <w:b/>
          <w:bCs/>
          <w:lang w:eastAsia="en-AU"/>
        </w:rPr>
        <w:t>Planning controls</w:t>
      </w:r>
    </w:p>
    <w:p w:rsidR="00CD1BAB" w:rsidRPr="00500791" w:rsidRDefault="00CD1BAB" w:rsidP="00CD1BAB">
      <w:pPr>
        <w:autoSpaceDE w:val="0"/>
        <w:autoSpaceDN w:val="0"/>
        <w:adjustRightInd w:val="0"/>
        <w:spacing w:before="0"/>
        <w:jc w:val="left"/>
        <w:rPr>
          <w:rFonts w:asciiTheme="minorHAnsi" w:hAnsiTheme="minorHAnsi" w:cs="Calibri,Bold"/>
          <w:bCs/>
          <w:lang w:eastAsia="en-AU"/>
        </w:rPr>
      </w:pPr>
      <w:r w:rsidRPr="00500791">
        <w:rPr>
          <w:rFonts w:asciiTheme="minorHAnsi" w:hAnsiTheme="minorHAnsi" w:cs="Calibri,Bold"/>
          <w:bCs/>
          <w:lang w:eastAsia="en-AU"/>
        </w:rPr>
        <w:t>Land Use Zone</w:t>
      </w:r>
    </w:p>
    <w:p w:rsidR="00CD1BAB" w:rsidRDefault="00CD1BAB" w:rsidP="00500791">
      <w:pPr>
        <w:autoSpaceDE w:val="0"/>
        <w:autoSpaceDN w:val="0"/>
        <w:adjustRightInd w:val="0"/>
        <w:spacing w:before="0" w:after="120"/>
        <w:ind w:left="567"/>
        <w:rPr>
          <w:rFonts w:cs="Calibri"/>
          <w:lang w:eastAsia="en-AU"/>
        </w:rPr>
      </w:pPr>
      <w:r>
        <w:rPr>
          <w:rFonts w:cs="Calibri"/>
          <w:lang w:eastAsia="en-AU"/>
        </w:rPr>
        <w:t>The proposal seeks to change the zone applied to the northern portion of the site from R1</w:t>
      </w:r>
      <w:r w:rsidR="00F16523">
        <w:rPr>
          <w:rFonts w:cs="Calibri"/>
          <w:lang w:eastAsia="en-AU"/>
        </w:rPr>
        <w:t xml:space="preserve"> </w:t>
      </w:r>
      <w:r>
        <w:rPr>
          <w:rFonts w:cs="Calibri"/>
          <w:lang w:eastAsia="en-AU"/>
        </w:rPr>
        <w:t>General Residential to B2 Local Centre, consistent with the remainder of the shopping</w:t>
      </w:r>
      <w:r w:rsidR="00F16523">
        <w:rPr>
          <w:rFonts w:cs="Calibri"/>
          <w:lang w:eastAsia="en-AU"/>
        </w:rPr>
        <w:t xml:space="preserve"> </w:t>
      </w:r>
      <w:r>
        <w:rPr>
          <w:rFonts w:cs="Calibri"/>
          <w:lang w:eastAsia="en-AU"/>
        </w:rPr>
        <w:t>centre site to the south.</w:t>
      </w:r>
    </w:p>
    <w:p w:rsidR="00CD1BAB" w:rsidRDefault="00CD1BAB" w:rsidP="00500791">
      <w:pPr>
        <w:autoSpaceDE w:val="0"/>
        <w:autoSpaceDN w:val="0"/>
        <w:adjustRightInd w:val="0"/>
        <w:spacing w:before="0" w:after="120"/>
        <w:ind w:left="567"/>
        <w:rPr>
          <w:rFonts w:cs="Calibri"/>
          <w:lang w:eastAsia="en-AU"/>
        </w:rPr>
      </w:pPr>
      <w:r>
        <w:rPr>
          <w:rFonts w:cs="Calibri"/>
          <w:lang w:eastAsia="en-AU"/>
        </w:rPr>
        <w:t>The adjoining land to the north and west is zoned RE1 Public Recreation, while land to the</w:t>
      </w:r>
      <w:r w:rsidR="00F16523">
        <w:rPr>
          <w:rFonts w:cs="Calibri"/>
          <w:lang w:eastAsia="en-AU"/>
        </w:rPr>
        <w:t xml:space="preserve"> </w:t>
      </w:r>
      <w:r>
        <w:rPr>
          <w:rFonts w:cs="Calibri"/>
          <w:lang w:eastAsia="en-AU"/>
        </w:rPr>
        <w:t>east comprises R1 General Residential land on the other side of Telopea Way.</w:t>
      </w:r>
    </w:p>
    <w:p w:rsidR="00CD1BAB" w:rsidRDefault="00CD1BAB" w:rsidP="00500791">
      <w:pPr>
        <w:autoSpaceDE w:val="0"/>
        <w:autoSpaceDN w:val="0"/>
        <w:adjustRightInd w:val="0"/>
        <w:spacing w:before="0" w:after="120"/>
        <w:ind w:left="567"/>
        <w:rPr>
          <w:rFonts w:cs="Calibri"/>
          <w:lang w:eastAsia="en-AU"/>
        </w:rPr>
      </w:pPr>
      <w:r>
        <w:rPr>
          <w:rFonts w:cs="Calibri"/>
          <w:lang w:eastAsia="en-AU"/>
        </w:rPr>
        <w:t xml:space="preserve">It is considered that the proposal does not raise any particular interface issues or land </w:t>
      </w:r>
      <w:proofErr w:type="gramStart"/>
      <w:r>
        <w:rPr>
          <w:rFonts w:cs="Calibri"/>
          <w:lang w:eastAsia="en-AU"/>
        </w:rPr>
        <w:t>use</w:t>
      </w:r>
      <w:proofErr w:type="gramEnd"/>
      <w:r w:rsidR="00F16523">
        <w:rPr>
          <w:rFonts w:cs="Calibri"/>
          <w:lang w:eastAsia="en-AU"/>
        </w:rPr>
        <w:t xml:space="preserve"> </w:t>
      </w:r>
      <w:r>
        <w:rPr>
          <w:rFonts w:cs="Calibri"/>
          <w:lang w:eastAsia="en-AU"/>
        </w:rPr>
        <w:t>conflicts with the surrounding lands. The neighbouring residential land is separated by the</w:t>
      </w:r>
      <w:r w:rsidR="00F16523">
        <w:rPr>
          <w:rFonts w:cs="Calibri"/>
          <w:lang w:eastAsia="en-AU"/>
        </w:rPr>
        <w:t xml:space="preserve"> </w:t>
      </w:r>
      <w:r>
        <w:rPr>
          <w:rFonts w:cs="Calibri"/>
          <w:lang w:eastAsia="en-AU"/>
        </w:rPr>
        <w:t>Telopea Way reserve, which serves to provide a modest buffer; whereas the northern and</w:t>
      </w:r>
      <w:r w:rsidR="00F16523">
        <w:rPr>
          <w:rFonts w:cs="Calibri"/>
          <w:lang w:eastAsia="en-AU"/>
        </w:rPr>
        <w:t xml:space="preserve"> </w:t>
      </w:r>
      <w:r>
        <w:rPr>
          <w:rFonts w:cs="Calibri"/>
          <w:lang w:eastAsia="en-AU"/>
        </w:rPr>
        <w:t>western neighbouring lands, being recreation lands, are not considered to be sensitive</w:t>
      </w:r>
      <w:r w:rsidR="00F16523">
        <w:rPr>
          <w:rFonts w:cs="Calibri"/>
          <w:lang w:eastAsia="en-AU"/>
        </w:rPr>
        <w:t xml:space="preserve"> </w:t>
      </w:r>
      <w:r>
        <w:rPr>
          <w:rFonts w:cs="Calibri"/>
          <w:lang w:eastAsia="en-AU"/>
        </w:rPr>
        <w:t>receptors. Interface issues can therefore be appropriately managed through the usual</w:t>
      </w:r>
      <w:r w:rsidR="00F16523">
        <w:rPr>
          <w:rFonts w:cs="Calibri"/>
          <w:lang w:eastAsia="en-AU"/>
        </w:rPr>
        <w:t xml:space="preserve"> </w:t>
      </w:r>
      <w:r>
        <w:rPr>
          <w:rFonts w:cs="Calibri"/>
          <w:lang w:eastAsia="en-AU"/>
        </w:rPr>
        <w:t>development application processes.</w:t>
      </w:r>
    </w:p>
    <w:p w:rsidR="00CD1BAB" w:rsidRPr="00500791" w:rsidRDefault="00CD1BAB" w:rsidP="00CD1BAB">
      <w:pPr>
        <w:autoSpaceDE w:val="0"/>
        <w:autoSpaceDN w:val="0"/>
        <w:adjustRightInd w:val="0"/>
        <w:spacing w:before="0"/>
        <w:jc w:val="left"/>
        <w:rPr>
          <w:rFonts w:asciiTheme="minorHAnsi" w:hAnsiTheme="minorHAnsi" w:cs="Calibri,Bold"/>
          <w:bCs/>
          <w:lang w:eastAsia="en-AU"/>
        </w:rPr>
      </w:pPr>
      <w:r w:rsidRPr="00500791">
        <w:rPr>
          <w:rFonts w:asciiTheme="minorHAnsi" w:hAnsiTheme="minorHAnsi" w:cs="Calibri,Bold"/>
          <w:bCs/>
          <w:lang w:eastAsia="en-AU"/>
        </w:rPr>
        <w:t>Floor Space Ratio Controls</w:t>
      </w:r>
    </w:p>
    <w:p w:rsidR="00A85FBC" w:rsidRDefault="00CD1BAB" w:rsidP="00500791">
      <w:pPr>
        <w:autoSpaceDE w:val="0"/>
        <w:autoSpaceDN w:val="0"/>
        <w:adjustRightInd w:val="0"/>
        <w:spacing w:before="0" w:after="120"/>
        <w:ind w:left="567"/>
        <w:rPr>
          <w:rFonts w:cs="Calibri"/>
          <w:lang w:eastAsia="en-AU"/>
        </w:rPr>
      </w:pPr>
      <w:r>
        <w:rPr>
          <w:rFonts w:cs="Calibri"/>
          <w:lang w:eastAsia="en-AU"/>
        </w:rPr>
        <w:t xml:space="preserve">The existing shopping centre is subject to a floor space ratio control. </w:t>
      </w:r>
    </w:p>
    <w:p w:rsidR="00CD1BAB" w:rsidRDefault="00CD1BAB" w:rsidP="00500791">
      <w:pPr>
        <w:autoSpaceDE w:val="0"/>
        <w:autoSpaceDN w:val="0"/>
        <w:adjustRightInd w:val="0"/>
        <w:spacing w:before="0" w:after="120"/>
        <w:ind w:left="567"/>
        <w:rPr>
          <w:rFonts w:cs="Calibri"/>
          <w:lang w:eastAsia="en-AU"/>
        </w:rPr>
      </w:pPr>
      <w:r>
        <w:rPr>
          <w:rFonts w:cs="Calibri"/>
          <w:lang w:eastAsia="en-AU"/>
        </w:rPr>
        <w:t>This was imposed to</w:t>
      </w:r>
      <w:r w:rsidR="00F16523">
        <w:rPr>
          <w:rFonts w:cs="Calibri"/>
          <w:lang w:eastAsia="en-AU"/>
        </w:rPr>
        <w:t xml:space="preserve"> </w:t>
      </w:r>
      <w:r>
        <w:rPr>
          <w:rFonts w:cs="Calibri"/>
          <w:lang w:eastAsia="en-AU"/>
        </w:rPr>
        <w:t>ensure that the scale of the centre would be consistent with the Urban Centres Review</w:t>
      </w:r>
      <w:r w:rsidR="00F16523">
        <w:rPr>
          <w:rFonts w:cs="Calibri"/>
          <w:lang w:eastAsia="en-AU"/>
        </w:rPr>
        <w:t xml:space="preserve"> </w:t>
      </w:r>
      <w:r>
        <w:rPr>
          <w:rFonts w:cs="Calibri"/>
          <w:lang w:eastAsia="en-AU"/>
        </w:rPr>
        <w:t xml:space="preserve">Strategy. The proponents </w:t>
      </w:r>
      <w:r w:rsidR="0045347E">
        <w:rPr>
          <w:rFonts w:cs="Calibri"/>
          <w:lang w:eastAsia="en-AU"/>
        </w:rPr>
        <w:t>originally sought</w:t>
      </w:r>
      <w:r>
        <w:rPr>
          <w:rFonts w:cs="Calibri"/>
          <w:lang w:eastAsia="en-AU"/>
        </w:rPr>
        <w:t xml:space="preserve"> an FSR of 0.</w:t>
      </w:r>
      <w:r w:rsidR="00E77E6D">
        <w:rPr>
          <w:rFonts w:cs="Calibri"/>
          <w:lang w:eastAsia="en-AU"/>
        </w:rPr>
        <w:t>3</w:t>
      </w:r>
      <w:r>
        <w:rPr>
          <w:rFonts w:cs="Calibri"/>
          <w:lang w:eastAsia="en-AU"/>
        </w:rPr>
        <w:t>2</w:t>
      </w:r>
      <w:r w:rsidR="00E77E6D">
        <w:rPr>
          <w:rFonts w:cs="Calibri"/>
          <w:lang w:eastAsia="en-AU"/>
        </w:rPr>
        <w:t>1</w:t>
      </w:r>
      <w:r>
        <w:rPr>
          <w:rFonts w:cs="Calibri"/>
          <w:lang w:eastAsia="en-AU"/>
        </w:rPr>
        <w:t xml:space="preserve">:1 over the site, which is a </w:t>
      </w:r>
      <w:r w:rsidR="00E77E6D">
        <w:rPr>
          <w:rFonts w:cs="Calibri"/>
          <w:lang w:eastAsia="en-AU"/>
        </w:rPr>
        <w:t>significant</w:t>
      </w:r>
      <w:r w:rsidR="00F16523">
        <w:rPr>
          <w:rFonts w:cs="Calibri"/>
          <w:lang w:eastAsia="en-AU"/>
        </w:rPr>
        <w:t xml:space="preserve"> </w:t>
      </w:r>
      <w:r>
        <w:rPr>
          <w:rFonts w:cs="Calibri"/>
          <w:lang w:eastAsia="en-AU"/>
        </w:rPr>
        <w:t>increase over the current 0.19:1 affecting the existing B2 zoned land.</w:t>
      </w:r>
    </w:p>
    <w:p w:rsidR="0045347E" w:rsidRDefault="00CD1BAB" w:rsidP="00500791">
      <w:pPr>
        <w:autoSpaceDE w:val="0"/>
        <w:autoSpaceDN w:val="0"/>
        <w:adjustRightInd w:val="0"/>
        <w:spacing w:before="0" w:after="120"/>
        <w:ind w:left="567"/>
        <w:rPr>
          <w:rFonts w:cs="Calibri"/>
          <w:lang w:eastAsia="en-AU"/>
        </w:rPr>
      </w:pPr>
      <w:proofErr w:type="spellStart"/>
      <w:r w:rsidRPr="0045347E">
        <w:rPr>
          <w:rFonts w:cs="Calibri"/>
          <w:lang w:eastAsia="en-AU"/>
        </w:rPr>
        <w:t>Leyshon’s</w:t>
      </w:r>
      <w:proofErr w:type="spellEnd"/>
      <w:r w:rsidRPr="0045347E">
        <w:rPr>
          <w:rFonts w:cs="Calibri"/>
          <w:lang w:eastAsia="en-AU"/>
        </w:rPr>
        <w:t xml:space="preserve"> review of the economic argument indicates that providing </w:t>
      </w:r>
      <w:r w:rsidR="0045347E" w:rsidRPr="0045347E">
        <w:rPr>
          <w:rFonts w:cs="Calibri"/>
          <w:lang w:eastAsia="en-AU"/>
        </w:rPr>
        <w:t>3,35</w:t>
      </w:r>
      <w:r w:rsidRPr="0045347E">
        <w:rPr>
          <w:rFonts w:cs="Calibri"/>
          <w:lang w:eastAsia="en-AU"/>
        </w:rPr>
        <w:t>0m</w:t>
      </w:r>
      <w:r w:rsidR="00E77E6D" w:rsidRPr="0045347E">
        <w:rPr>
          <w:rFonts w:cs="Calibri"/>
          <w:vertAlign w:val="superscript"/>
          <w:lang w:eastAsia="en-AU"/>
        </w:rPr>
        <w:t>2</w:t>
      </w:r>
      <w:r w:rsidRPr="0045347E">
        <w:rPr>
          <w:rFonts w:cs="Calibri"/>
          <w:sz w:val="16"/>
          <w:szCs w:val="16"/>
          <w:lang w:eastAsia="en-AU"/>
        </w:rPr>
        <w:t xml:space="preserve"> </w:t>
      </w:r>
      <w:r w:rsidRPr="0045347E">
        <w:rPr>
          <w:rFonts w:cs="Calibri"/>
          <w:lang w:eastAsia="en-AU"/>
        </w:rPr>
        <w:t>of floor space</w:t>
      </w:r>
      <w:r w:rsidR="00F16523" w:rsidRPr="0045347E">
        <w:rPr>
          <w:rFonts w:cs="Calibri"/>
          <w:lang w:eastAsia="en-AU"/>
        </w:rPr>
        <w:t xml:space="preserve"> </w:t>
      </w:r>
      <w:r w:rsidRPr="0045347E">
        <w:rPr>
          <w:rFonts w:cs="Calibri"/>
          <w:lang w:eastAsia="en-AU"/>
        </w:rPr>
        <w:t>for the expansion of the existing Woolworths</w:t>
      </w:r>
      <w:r w:rsidR="0045347E" w:rsidRPr="0045347E">
        <w:rPr>
          <w:rFonts w:cs="Calibri"/>
          <w:lang w:eastAsia="en-AU"/>
        </w:rPr>
        <w:t>, addition of Aldi</w:t>
      </w:r>
      <w:r w:rsidRPr="0045347E">
        <w:rPr>
          <w:rFonts w:cs="Calibri"/>
          <w:lang w:eastAsia="en-AU"/>
        </w:rPr>
        <w:t xml:space="preserve"> and additional specialty shops, but not</w:t>
      </w:r>
      <w:r w:rsidR="00F16523" w:rsidRPr="0045347E">
        <w:rPr>
          <w:rFonts w:cs="Calibri"/>
          <w:lang w:eastAsia="en-AU"/>
        </w:rPr>
        <w:t xml:space="preserve"> </w:t>
      </w:r>
      <w:r w:rsidRPr="0045347E">
        <w:rPr>
          <w:rFonts w:cs="Calibri"/>
          <w:lang w:eastAsia="en-AU"/>
        </w:rPr>
        <w:t>supporting the further 4</w:t>
      </w:r>
      <w:r w:rsidR="00E77E6D" w:rsidRPr="0045347E">
        <w:rPr>
          <w:rFonts w:cs="Calibri"/>
          <w:lang w:eastAsia="en-AU"/>
        </w:rPr>
        <w:t>,</w:t>
      </w:r>
      <w:r w:rsidRPr="0045347E">
        <w:rPr>
          <w:rFonts w:cs="Calibri"/>
          <w:lang w:eastAsia="en-AU"/>
        </w:rPr>
        <w:t>000m</w:t>
      </w:r>
      <w:r w:rsidR="00E77E6D" w:rsidRPr="0045347E">
        <w:rPr>
          <w:rFonts w:cs="Calibri"/>
          <w:vertAlign w:val="superscript"/>
          <w:lang w:eastAsia="en-AU"/>
        </w:rPr>
        <w:t>2</w:t>
      </w:r>
      <w:r w:rsidRPr="0045347E">
        <w:rPr>
          <w:rFonts w:cs="Calibri"/>
          <w:sz w:val="16"/>
          <w:szCs w:val="16"/>
          <w:lang w:eastAsia="en-AU"/>
        </w:rPr>
        <w:t xml:space="preserve"> </w:t>
      </w:r>
      <w:r w:rsidRPr="0045347E">
        <w:rPr>
          <w:rFonts w:cs="Calibri"/>
          <w:lang w:eastAsia="en-AU"/>
        </w:rPr>
        <w:t xml:space="preserve">needed for the additional </w:t>
      </w:r>
      <w:r w:rsidR="0045347E" w:rsidRPr="0045347E">
        <w:rPr>
          <w:rFonts w:cs="Calibri"/>
          <w:lang w:eastAsia="en-AU"/>
        </w:rPr>
        <w:t xml:space="preserve">full line </w:t>
      </w:r>
      <w:r w:rsidRPr="0045347E">
        <w:rPr>
          <w:rFonts w:cs="Calibri"/>
          <w:lang w:eastAsia="en-AU"/>
        </w:rPr>
        <w:t>supermarket, may represent an</w:t>
      </w:r>
      <w:r w:rsidR="00F16523" w:rsidRPr="0045347E">
        <w:rPr>
          <w:rFonts w:cs="Calibri"/>
          <w:lang w:eastAsia="en-AU"/>
        </w:rPr>
        <w:t xml:space="preserve"> </w:t>
      </w:r>
      <w:r w:rsidRPr="0045347E">
        <w:rPr>
          <w:rFonts w:cs="Calibri"/>
          <w:lang w:eastAsia="en-AU"/>
        </w:rPr>
        <w:t xml:space="preserve">appropriate level of expansion at this time. </w:t>
      </w:r>
    </w:p>
    <w:p w:rsidR="0045347E" w:rsidRPr="0045347E" w:rsidRDefault="00CD1BAB" w:rsidP="00500791">
      <w:pPr>
        <w:autoSpaceDE w:val="0"/>
        <w:autoSpaceDN w:val="0"/>
        <w:adjustRightInd w:val="0"/>
        <w:spacing w:before="0" w:after="120"/>
        <w:ind w:left="567"/>
        <w:rPr>
          <w:rFonts w:cs="Calibri"/>
          <w:szCs w:val="16"/>
          <w:lang w:eastAsia="en-AU"/>
        </w:rPr>
      </w:pPr>
      <w:r w:rsidRPr="0045347E">
        <w:rPr>
          <w:rFonts w:cs="Calibri"/>
          <w:lang w:eastAsia="en-AU"/>
        </w:rPr>
        <w:t xml:space="preserve">This translates to a total floor space of </w:t>
      </w:r>
      <w:r w:rsidR="0045347E" w:rsidRPr="0045347E">
        <w:rPr>
          <w:rFonts w:cs="Calibri"/>
          <w:lang w:eastAsia="en-AU"/>
        </w:rPr>
        <w:t>8,194</w:t>
      </w:r>
      <w:r w:rsidRPr="0045347E">
        <w:rPr>
          <w:rFonts w:cs="Calibri"/>
          <w:lang w:eastAsia="en-AU"/>
        </w:rPr>
        <w:t>m</w:t>
      </w:r>
      <w:r w:rsidR="00E77E6D" w:rsidRPr="0045347E">
        <w:rPr>
          <w:rFonts w:cs="Calibri"/>
          <w:vertAlign w:val="superscript"/>
          <w:lang w:eastAsia="en-AU"/>
        </w:rPr>
        <w:t>2</w:t>
      </w:r>
      <w:r w:rsidR="00F16523" w:rsidRPr="0045347E">
        <w:rPr>
          <w:rFonts w:cs="Calibri"/>
          <w:sz w:val="16"/>
          <w:szCs w:val="16"/>
          <w:lang w:eastAsia="en-AU"/>
        </w:rPr>
        <w:t xml:space="preserve"> </w:t>
      </w:r>
      <w:r w:rsidR="0045347E" w:rsidRPr="0045347E">
        <w:rPr>
          <w:rFonts w:cs="Calibri"/>
          <w:szCs w:val="16"/>
          <w:lang w:eastAsia="en-AU"/>
        </w:rPr>
        <w:t>(existing centre 4,844m</w:t>
      </w:r>
      <w:r w:rsidR="0045347E" w:rsidRPr="0045347E">
        <w:rPr>
          <w:rFonts w:cs="Calibri"/>
          <w:szCs w:val="16"/>
          <w:vertAlign w:val="superscript"/>
          <w:lang w:eastAsia="en-AU"/>
        </w:rPr>
        <w:t>2</w:t>
      </w:r>
      <w:r w:rsidR="0045347E" w:rsidRPr="0045347E">
        <w:rPr>
          <w:rFonts w:cs="Calibri"/>
          <w:szCs w:val="16"/>
          <w:lang w:eastAsia="en-AU"/>
        </w:rPr>
        <w:t xml:space="preserve"> + proposed expansion 3350m</w:t>
      </w:r>
      <w:r w:rsidR="0045347E" w:rsidRPr="0045347E">
        <w:rPr>
          <w:rFonts w:cs="Calibri"/>
          <w:szCs w:val="16"/>
          <w:vertAlign w:val="superscript"/>
          <w:lang w:eastAsia="en-AU"/>
        </w:rPr>
        <w:t>2</w:t>
      </w:r>
      <w:r w:rsidR="0045347E" w:rsidRPr="0045347E">
        <w:rPr>
          <w:rFonts w:cs="Calibri"/>
          <w:szCs w:val="16"/>
          <w:lang w:eastAsia="en-AU"/>
        </w:rPr>
        <w:t xml:space="preserve">). </w:t>
      </w:r>
    </w:p>
    <w:p w:rsidR="00CD1BAB" w:rsidRDefault="0045347E" w:rsidP="00500791">
      <w:pPr>
        <w:autoSpaceDE w:val="0"/>
        <w:autoSpaceDN w:val="0"/>
        <w:adjustRightInd w:val="0"/>
        <w:spacing w:before="0" w:after="120"/>
        <w:ind w:left="567"/>
        <w:rPr>
          <w:rFonts w:cs="Calibri"/>
          <w:lang w:eastAsia="en-AU"/>
        </w:rPr>
      </w:pPr>
      <w:r w:rsidRPr="0045347E">
        <w:rPr>
          <w:rFonts w:cs="Calibri"/>
          <w:szCs w:val="16"/>
          <w:lang w:eastAsia="en-AU"/>
        </w:rPr>
        <w:t xml:space="preserve">With the expansion of the B2 zone over the remainder of Lot </w:t>
      </w:r>
      <w:r w:rsidRPr="0045347E">
        <w:rPr>
          <w:rFonts w:cs="Calibri"/>
          <w:lang w:eastAsia="en-AU"/>
        </w:rPr>
        <w:t xml:space="preserve">700 DP 1171441 the total site area becomes </w:t>
      </w:r>
      <w:r w:rsidR="00CD1BAB" w:rsidRPr="0045347E">
        <w:rPr>
          <w:rFonts w:cs="Calibri"/>
          <w:lang w:eastAsia="en-AU"/>
        </w:rPr>
        <w:t>39</w:t>
      </w:r>
      <w:r w:rsidR="00E77E6D" w:rsidRPr="0045347E">
        <w:rPr>
          <w:rFonts w:cs="Calibri"/>
          <w:lang w:eastAsia="en-AU"/>
        </w:rPr>
        <w:t>,</w:t>
      </w:r>
      <w:r w:rsidR="00CD1BAB" w:rsidRPr="0045347E">
        <w:rPr>
          <w:rFonts w:cs="Calibri"/>
          <w:lang w:eastAsia="en-AU"/>
        </w:rPr>
        <w:t>055m</w:t>
      </w:r>
      <w:r w:rsidR="00E77E6D" w:rsidRPr="0045347E">
        <w:rPr>
          <w:rFonts w:cs="Calibri"/>
          <w:vertAlign w:val="superscript"/>
          <w:lang w:eastAsia="en-AU"/>
        </w:rPr>
        <w:t>2</w:t>
      </w:r>
      <w:r w:rsidRPr="0045347E">
        <w:rPr>
          <w:rFonts w:cs="Calibri"/>
          <w:lang w:eastAsia="en-AU"/>
        </w:rPr>
        <w:t>. A</w:t>
      </w:r>
      <w:r w:rsidR="00CD1BAB" w:rsidRPr="0045347E">
        <w:rPr>
          <w:rFonts w:cs="Calibri"/>
          <w:lang w:eastAsia="en-AU"/>
        </w:rPr>
        <w:t>n FSR of 0.</w:t>
      </w:r>
      <w:r w:rsidRPr="0045347E">
        <w:rPr>
          <w:rFonts w:cs="Calibri"/>
          <w:lang w:eastAsia="en-AU"/>
        </w:rPr>
        <w:t>21</w:t>
      </w:r>
      <w:r w:rsidR="00CD1BAB" w:rsidRPr="0045347E">
        <w:rPr>
          <w:rFonts w:cs="Calibri"/>
          <w:lang w:eastAsia="en-AU"/>
        </w:rPr>
        <w:t>:1 for the entirety of the site</w:t>
      </w:r>
      <w:r w:rsidRPr="0045347E">
        <w:rPr>
          <w:rFonts w:cs="Calibri"/>
          <w:lang w:eastAsia="en-AU"/>
        </w:rPr>
        <w:t xml:space="preserve"> would enable 8,201m2 of lettable </w:t>
      </w:r>
      <w:proofErr w:type="spellStart"/>
      <w:r w:rsidRPr="0045347E">
        <w:rPr>
          <w:rFonts w:cs="Calibri"/>
          <w:lang w:eastAsia="en-AU"/>
        </w:rPr>
        <w:t>floorspace</w:t>
      </w:r>
      <w:proofErr w:type="spellEnd"/>
      <w:r w:rsidR="00CD1BAB" w:rsidRPr="0045347E">
        <w:rPr>
          <w:rFonts w:cs="Calibri"/>
          <w:lang w:eastAsia="en-AU"/>
        </w:rPr>
        <w:t>.</w:t>
      </w:r>
    </w:p>
    <w:p w:rsidR="00097080" w:rsidRDefault="00097080">
      <w:pPr>
        <w:spacing w:before="0"/>
        <w:jc w:val="left"/>
        <w:rPr>
          <w:rFonts w:ascii="Calibri,Bold" w:hAnsi="Calibri,Bold" w:cs="Calibri,Bold"/>
          <w:b/>
          <w:bCs/>
          <w:lang w:eastAsia="en-AU"/>
        </w:rPr>
      </w:pPr>
      <w:r>
        <w:rPr>
          <w:rFonts w:ascii="Calibri,Bold" w:hAnsi="Calibri,Bold" w:cs="Calibri,Bold"/>
          <w:b/>
          <w:bCs/>
          <w:lang w:eastAsia="en-AU"/>
        </w:rPr>
        <w:br w:type="page"/>
      </w:r>
    </w:p>
    <w:p w:rsidR="00CD1BAB" w:rsidRPr="00216605" w:rsidRDefault="00216605" w:rsidP="00CD1BAB">
      <w:pPr>
        <w:autoSpaceDE w:val="0"/>
        <w:autoSpaceDN w:val="0"/>
        <w:adjustRightInd w:val="0"/>
        <w:spacing w:before="0"/>
        <w:rPr>
          <w:rFonts w:asciiTheme="minorHAnsi" w:hAnsiTheme="minorHAnsi" w:cs="Calibri,Bold"/>
          <w:b/>
          <w:bCs/>
          <w:lang w:eastAsia="en-AU"/>
        </w:rPr>
      </w:pPr>
      <w:r w:rsidRPr="00216605">
        <w:rPr>
          <w:rFonts w:asciiTheme="minorHAnsi" w:hAnsiTheme="minorHAnsi" w:cs="Calibri,Bold"/>
          <w:b/>
          <w:bCs/>
          <w:lang w:eastAsia="en-AU"/>
        </w:rPr>
        <w:t>Planning proposal process</w:t>
      </w:r>
    </w:p>
    <w:p w:rsidR="00CD1BAB" w:rsidRDefault="00CD1BAB" w:rsidP="00CD1BAB">
      <w:pPr>
        <w:autoSpaceDE w:val="0"/>
        <w:autoSpaceDN w:val="0"/>
        <w:adjustRightInd w:val="0"/>
        <w:spacing w:before="0"/>
        <w:rPr>
          <w:rFonts w:cs="Calibri"/>
          <w:lang w:eastAsia="en-AU"/>
        </w:rPr>
      </w:pPr>
      <w:r>
        <w:rPr>
          <w:rFonts w:cs="Calibri"/>
          <w:lang w:eastAsia="en-AU"/>
        </w:rPr>
        <w:t>Should Council decide to proceed with the proposal, either as requested by the proponent or as modified in accordance with the details above, the processes involved are summarised as follows:</w:t>
      </w:r>
    </w:p>
    <w:p w:rsidR="00CD1BAB" w:rsidRPr="00E77E6D" w:rsidRDefault="00CD1BAB" w:rsidP="00E77E6D">
      <w:pPr>
        <w:pStyle w:val="ListParagraph"/>
        <w:numPr>
          <w:ilvl w:val="0"/>
          <w:numId w:val="14"/>
        </w:numPr>
        <w:autoSpaceDE w:val="0"/>
        <w:autoSpaceDN w:val="0"/>
        <w:adjustRightInd w:val="0"/>
        <w:spacing w:before="0"/>
        <w:rPr>
          <w:rFonts w:cs="Calibri"/>
          <w:lang w:eastAsia="en-AU"/>
        </w:rPr>
      </w:pPr>
      <w:r w:rsidRPr="00E77E6D">
        <w:rPr>
          <w:rFonts w:cs="Calibri"/>
          <w:lang w:eastAsia="en-AU"/>
        </w:rPr>
        <w:t>Prepare draft LEP maps for the zoning and floor space ratio changes.</w:t>
      </w:r>
    </w:p>
    <w:p w:rsidR="00CD1BAB" w:rsidRPr="00E77E6D" w:rsidRDefault="00CD1BAB" w:rsidP="003E7462">
      <w:pPr>
        <w:pStyle w:val="ListParagraph"/>
        <w:numPr>
          <w:ilvl w:val="0"/>
          <w:numId w:val="14"/>
        </w:numPr>
        <w:autoSpaceDE w:val="0"/>
        <w:autoSpaceDN w:val="0"/>
        <w:adjustRightInd w:val="0"/>
        <w:spacing w:before="0"/>
        <w:rPr>
          <w:rFonts w:cs="Calibri"/>
          <w:lang w:eastAsia="en-AU"/>
        </w:rPr>
      </w:pPr>
      <w:r w:rsidRPr="00E77E6D">
        <w:rPr>
          <w:rFonts w:cs="Calibri"/>
          <w:lang w:eastAsia="en-AU"/>
        </w:rPr>
        <w:t>Submit the above to the Department of Planning and Environment for the Gateway</w:t>
      </w:r>
      <w:r w:rsidR="00E77E6D">
        <w:rPr>
          <w:rFonts w:cs="Calibri"/>
          <w:lang w:eastAsia="en-AU"/>
        </w:rPr>
        <w:t xml:space="preserve"> </w:t>
      </w:r>
      <w:r w:rsidRPr="00E77E6D">
        <w:rPr>
          <w:rFonts w:cs="Calibri"/>
          <w:lang w:eastAsia="en-AU"/>
        </w:rPr>
        <w:t>Review.</w:t>
      </w:r>
    </w:p>
    <w:p w:rsidR="00CD1BAB" w:rsidRPr="00E77E6D" w:rsidRDefault="00CD1BAB" w:rsidP="00E77E6D">
      <w:pPr>
        <w:pStyle w:val="ListParagraph"/>
        <w:numPr>
          <w:ilvl w:val="0"/>
          <w:numId w:val="14"/>
        </w:numPr>
        <w:autoSpaceDE w:val="0"/>
        <w:autoSpaceDN w:val="0"/>
        <w:adjustRightInd w:val="0"/>
        <w:spacing w:before="0"/>
        <w:rPr>
          <w:rFonts w:cs="Calibri"/>
          <w:lang w:eastAsia="en-AU"/>
        </w:rPr>
      </w:pPr>
      <w:r w:rsidRPr="00E77E6D">
        <w:rPr>
          <w:rFonts w:cs="Calibri"/>
          <w:lang w:eastAsia="en-AU"/>
        </w:rPr>
        <w:t>Upon receipt of the Gateway Determination, undertake such studies or further works as may be required.</w:t>
      </w:r>
    </w:p>
    <w:p w:rsidR="00CD1BAB" w:rsidRPr="00E77E6D" w:rsidRDefault="00CD1BAB" w:rsidP="00E77E6D">
      <w:pPr>
        <w:pStyle w:val="ListParagraph"/>
        <w:numPr>
          <w:ilvl w:val="0"/>
          <w:numId w:val="14"/>
        </w:numPr>
        <w:autoSpaceDE w:val="0"/>
        <w:autoSpaceDN w:val="0"/>
        <w:adjustRightInd w:val="0"/>
        <w:spacing w:before="0"/>
        <w:rPr>
          <w:rFonts w:cs="Calibri"/>
          <w:lang w:eastAsia="en-AU"/>
        </w:rPr>
      </w:pPr>
      <w:r w:rsidRPr="00E77E6D">
        <w:rPr>
          <w:rFonts w:cs="Calibri"/>
          <w:lang w:eastAsia="en-AU"/>
        </w:rPr>
        <w:t>Commence the formal consultation phase as required by the Gateway Determination. This will most likely involve consultation with Government departments and agencies, as well as a minimum 28 day public exhibition phase.</w:t>
      </w:r>
    </w:p>
    <w:p w:rsidR="00CD1BAB" w:rsidRPr="00E77E6D" w:rsidRDefault="00CD1BAB" w:rsidP="00E77E6D">
      <w:pPr>
        <w:pStyle w:val="ListParagraph"/>
        <w:numPr>
          <w:ilvl w:val="0"/>
          <w:numId w:val="14"/>
        </w:numPr>
        <w:autoSpaceDE w:val="0"/>
        <w:autoSpaceDN w:val="0"/>
        <w:adjustRightInd w:val="0"/>
        <w:spacing w:before="0"/>
        <w:rPr>
          <w:rFonts w:cs="Calibri"/>
          <w:lang w:eastAsia="en-AU"/>
        </w:rPr>
      </w:pPr>
      <w:r w:rsidRPr="00E77E6D">
        <w:rPr>
          <w:rFonts w:cs="Calibri"/>
          <w:lang w:eastAsia="en-AU"/>
        </w:rPr>
        <w:t>Analyse and report back to Council on the results of consultation and public exhibition. This may involve changes to the concept to accommodate the concerns raised during exhibition and consultation.</w:t>
      </w:r>
    </w:p>
    <w:p w:rsidR="00CD1BAB" w:rsidRPr="00E77E6D" w:rsidRDefault="00CD1BAB" w:rsidP="00E77E6D">
      <w:pPr>
        <w:pStyle w:val="ListParagraph"/>
        <w:numPr>
          <w:ilvl w:val="0"/>
          <w:numId w:val="14"/>
        </w:numPr>
        <w:autoSpaceDE w:val="0"/>
        <w:autoSpaceDN w:val="0"/>
        <w:adjustRightInd w:val="0"/>
        <w:spacing w:before="0"/>
        <w:rPr>
          <w:bCs/>
        </w:rPr>
      </w:pPr>
      <w:r w:rsidRPr="00E77E6D">
        <w:rPr>
          <w:rFonts w:cs="Calibri"/>
          <w:lang w:eastAsia="en-AU"/>
        </w:rPr>
        <w:t>Upon Council adoption, submit the final proposal to Parliamentary Counsel via the Department of Planning and Environment, requesting a formal opinion and gazettal of the LEP component of the plan. The master plan component would be incorporated into the Orange Development Control Plan at the same time.</w:t>
      </w:r>
    </w:p>
    <w:p w:rsidR="00E77E6D" w:rsidRPr="00E77E6D" w:rsidRDefault="00E77E6D" w:rsidP="00E77E6D">
      <w:pPr>
        <w:pStyle w:val="ListParagraph"/>
        <w:autoSpaceDE w:val="0"/>
        <w:autoSpaceDN w:val="0"/>
        <w:adjustRightInd w:val="0"/>
        <w:spacing w:before="0"/>
        <w:rPr>
          <w:bCs/>
        </w:rPr>
      </w:pPr>
    </w:p>
    <w:p w:rsidR="00CD1BAB" w:rsidRPr="00FA3A78" w:rsidRDefault="00FA3A78" w:rsidP="00CD1BAB">
      <w:pPr>
        <w:autoSpaceDE w:val="0"/>
        <w:autoSpaceDN w:val="0"/>
        <w:adjustRightInd w:val="0"/>
        <w:spacing w:before="0"/>
        <w:jc w:val="left"/>
        <w:rPr>
          <w:rFonts w:asciiTheme="minorHAnsi" w:hAnsiTheme="minorHAnsi" w:cs="Calibri,Bold"/>
          <w:b/>
          <w:bCs/>
          <w:lang w:eastAsia="en-AU"/>
        </w:rPr>
      </w:pPr>
      <w:r w:rsidRPr="00FA3A78">
        <w:rPr>
          <w:rFonts w:asciiTheme="minorHAnsi" w:hAnsiTheme="minorHAnsi" w:cs="Calibri,Bold"/>
          <w:b/>
          <w:bCs/>
          <w:lang w:eastAsia="en-AU"/>
        </w:rPr>
        <w:t>Conclusion</w:t>
      </w:r>
    </w:p>
    <w:p w:rsidR="00CD1BAB" w:rsidRDefault="00CD1BAB" w:rsidP="00E77E6D">
      <w:pPr>
        <w:autoSpaceDE w:val="0"/>
        <w:autoSpaceDN w:val="0"/>
        <w:adjustRightInd w:val="0"/>
        <w:spacing w:before="0" w:after="120"/>
        <w:rPr>
          <w:rFonts w:cs="Calibri"/>
          <w:lang w:eastAsia="en-AU"/>
        </w:rPr>
      </w:pPr>
      <w:r>
        <w:rPr>
          <w:rFonts w:cs="Calibri"/>
          <w:lang w:eastAsia="en-AU"/>
        </w:rPr>
        <w:t>Examination of a request for a Planning Proposal and review of the economic case provided has indicated that the continued growth of North Orange may now justify a mode</w:t>
      </w:r>
      <w:r w:rsidR="00E77E6D">
        <w:rPr>
          <w:rFonts w:cs="Calibri"/>
          <w:lang w:eastAsia="en-AU"/>
        </w:rPr>
        <w:t>rate</w:t>
      </w:r>
      <w:r>
        <w:rPr>
          <w:rFonts w:cs="Calibri"/>
          <w:lang w:eastAsia="en-AU"/>
        </w:rPr>
        <w:t xml:space="preserve"> expansion of the current shopping centre. The site is directly across the road from a previous request that was rejected by Council over concerns relating to the proximity of child care centres, adjoining residential properties and traffic issues.</w:t>
      </w:r>
    </w:p>
    <w:p w:rsidR="00CD1BAB" w:rsidRDefault="00CD1BAB" w:rsidP="00E77E6D">
      <w:pPr>
        <w:autoSpaceDE w:val="0"/>
        <w:autoSpaceDN w:val="0"/>
        <w:adjustRightInd w:val="0"/>
        <w:spacing w:before="0" w:after="120"/>
        <w:rPr>
          <w:rFonts w:cs="Calibri"/>
          <w:lang w:eastAsia="en-AU"/>
        </w:rPr>
      </w:pPr>
      <w:r>
        <w:rPr>
          <w:rFonts w:cs="Calibri"/>
          <w:lang w:eastAsia="en-AU"/>
        </w:rPr>
        <w:t>This proposal is situated on the western side of Telopea Way, providing a more definitive separation buffer to the more sensitive land uses in the east, and staff are investigating potential relief routes to connect the northern end of Telopea Way with Diamond Drive to the west.</w:t>
      </w:r>
    </w:p>
    <w:p w:rsidR="00CD1BAB" w:rsidRDefault="00CD1BAB" w:rsidP="00E77E6D">
      <w:pPr>
        <w:autoSpaceDE w:val="0"/>
        <w:autoSpaceDN w:val="0"/>
        <w:adjustRightInd w:val="0"/>
        <w:spacing w:before="0" w:after="120"/>
        <w:rPr>
          <w:rFonts w:cs="Calibri"/>
          <w:lang w:eastAsia="en-AU"/>
        </w:rPr>
      </w:pPr>
      <w:r>
        <w:rPr>
          <w:rFonts w:cs="Calibri"/>
          <w:lang w:eastAsia="en-AU"/>
        </w:rPr>
        <w:t>The current proposal is seen to have some merit</w:t>
      </w:r>
      <w:r w:rsidRPr="0045347E">
        <w:rPr>
          <w:rFonts w:cs="Calibri"/>
          <w:lang w:eastAsia="en-AU"/>
        </w:rPr>
        <w:t xml:space="preserve">, albeit that a peer review of the economic case has indicated that a more modest expansion than </w:t>
      </w:r>
      <w:r w:rsidR="0045347E" w:rsidRPr="0045347E">
        <w:rPr>
          <w:rFonts w:cs="Calibri"/>
          <w:lang w:eastAsia="en-AU"/>
        </w:rPr>
        <w:t>originally</w:t>
      </w:r>
      <w:r w:rsidRPr="0045347E">
        <w:rPr>
          <w:rFonts w:cs="Calibri"/>
          <w:lang w:eastAsia="en-AU"/>
        </w:rPr>
        <w:t xml:space="preserve"> requested is likely to meet the short to medium term needs of North Orange residents without unduly impacting upon the trading performance and role of the main CBD.</w:t>
      </w:r>
    </w:p>
    <w:p w:rsidR="00AA7CC9" w:rsidRPr="003658FA" w:rsidRDefault="00CD1BAB" w:rsidP="00E77E6D">
      <w:pPr>
        <w:autoSpaceDE w:val="0"/>
        <w:autoSpaceDN w:val="0"/>
        <w:adjustRightInd w:val="0"/>
        <w:spacing w:before="0" w:after="120"/>
      </w:pPr>
      <w:r>
        <w:rPr>
          <w:rFonts w:cs="Calibri"/>
          <w:lang w:eastAsia="en-AU"/>
        </w:rPr>
        <w:t xml:space="preserve">Accordingly, it is recommended to proceed with a modified version of the planning proposal at this stage. </w:t>
      </w:r>
      <w:r w:rsidR="0045347E">
        <w:rPr>
          <w:rFonts w:cs="Calibri"/>
          <w:lang w:eastAsia="en-AU"/>
        </w:rPr>
        <w:t xml:space="preserve">The additional </w:t>
      </w:r>
      <w:r w:rsidR="007F34E3">
        <w:rPr>
          <w:rFonts w:cs="Calibri"/>
          <w:lang w:eastAsia="en-AU"/>
        </w:rPr>
        <w:t xml:space="preserve">full line </w:t>
      </w:r>
      <w:r w:rsidR="0045347E">
        <w:rPr>
          <w:rFonts w:cs="Calibri"/>
          <w:lang w:eastAsia="en-AU"/>
        </w:rPr>
        <w:t>4,000m</w:t>
      </w:r>
      <w:r w:rsidR="0045347E" w:rsidRPr="007F34E3">
        <w:rPr>
          <w:rFonts w:cs="Calibri"/>
          <w:vertAlign w:val="superscript"/>
          <w:lang w:eastAsia="en-AU"/>
        </w:rPr>
        <w:t>2</w:t>
      </w:r>
      <w:r w:rsidR="0045347E">
        <w:rPr>
          <w:rFonts w:cs="Calibri"/>
          <w:lang w:eastAsia="en-AU"/>
        </w:rPr>
        <w:t xml:space="preserve"> supermarket</w:t>
      </w:r>
      <w:r w:rsidR="007F34E3">
        <w:rPr>
          <w:rFonts w:cs="Calibri"/>
          <w:lang w:eastAsia="en-AU"/>
        </w:rPr>
        <w:t xml:space="preserve"> (</w:t>
      </w:r>
      <w:r w:rsidR="0045347E">
        <w:rPr>
          <w:rFonts w:cs="Calibri"/>
          <w:lang w:eastAsia="en-AU"/>
        </w:rPr>
        <w:t>when combined with the rest of the proposal</w:t>
      </w:r>
      <w:r w:rsidR="007F34E3">
        <w:rPr>
          <w:rFonts w:cs="Calibri"/>
          <w:lang w:eastAsia="en-AU"/>
        </w:rPr>
        <w:t>)</w:t>
      </w:r>
      <w:r w:rsidR="0045347E">
        <w:rPr>
          <w:rFonts w:cs="Calibri"/>
          <w:lang w:eastAsia="en-AU"/>
        </w:rPr>
        <w:t xml:space="preserve"> is considered premature. The best estimate available from Council’s consultant is that </w:t>
      </w:r>
      <w:r w:rsidR="007F34E3">
        <w:rPr>
          <w:rFonts w:cs="Calibri"/>
          <w:lang w:eastAsia="en-AU"/>
        </w:rPr>
        <w:t xml:space="preserve">by 2028 </w:t>
      </w:r>
      <w:r w:rsidR="0045347E">
        <w:rPr>
          <w:rFonts w:cs="Calibri"/>
          <w:lang w:eastAsia="en-AU"/>
        </w:rPr>
        <w:t xml:space="preserve">the population catchment may </w:t>
      </w:r>
      <w:r w:rsidR="007F34E3">
        <w:rPr>
          <w:rFonts w:cs="Calibri"/>
          <w:lang w:eastAsia="en-AU"/>
        </w:rPr>
        <w:t>have grown sufficiently to allow a further expansion without undue consequence to the CBD.</w:t>
      </w:r>
    </w:p>
    <w:p w:rsidR="00E616C3" w:rsidRPr="00AA7CC9" w:rsidRDefault="00AA7CC9" w:rsidP="00AA7CC9">
      <w:pPr>
        <w:spacing w:before="0"/>
        <w:rPr>
          <w:rFonts w:ascii="Arial" w:hAnsi="Arial" w:cs="Arial"/>
          <w:sz w:val="16"/>
          <w:szCs w:val="16"/>
          <w:lang w:val="en-GB"/>
        </w:rPr>
      </w:pPr>
      <w:r w:rsidRPr="00AA7CC9">
        <w:rPr>
          <w:rFonts w:cs="Arial"/>
          <w:i/>
          <w:vanish/>
          <w:color w:val="FF0000"/>
          <w:sz w:val="16"/>
          <w:szCs w:val="16"/>
          <w:lang w:val="en-GB"/>
        </w:rPr>
        <w:t>Do not delete this line</w:t>
      </w:r>
    </w:p>
    <w:p w:rsidR="00E616C3" w:rsidRPr="00352197" w:rsidRDefault="00E616C3" w:rsidP="00E616C3">
      <w:pPr>
        <w:rPr>
          <w:rFonts w:ascii="Arial" w:hAnsi="Arial" w:cs="Arial"/>
          <w:lang w:val="en-GB"/>
        </w:rPr>
        <w:sectPr w:rsidR="00E616C3" w:rsidRPr="00352197" w:rsidSect="001A6479">
          <w:type w:val="continuous"/>
          <w:pgSz w:w="11907" w:h="16840" w:code="9"/>
          <w:pgMar w:top="567" w:right="1440" w:bottom="567" w:left="1440" w:header="709" w:footer="709" w:gutter="0"/>
          <w:cols w:space="720"/>
          <w:formProt w:val="0"/>
        </w:sectPr>
      </w:pPr>
    </w:p>
    <w:p w:rsidR="00CD1BAB" w:rsidRDefault="00CD1BAB" w:rsidP="00CD1BAB">
      <w:pPr>
        <w:keepNext/>
        <w:widowControl w:val="0"/>
        <w:spacing w:before="240"/>
        <w:rPr>
          <w:rFonts w:cs="Arial"/>
          <w:b/>
          <w:bCs/>
          <w:caps/>
          <w:color w:val="000000"/>
          <w:szCs w:val="22"/>
        </w:rPr>
      </w:pPr>
      <w:bookmarkStart w:id="16" w:name="PDF2_Attachments"/>
      <w:bookmarkStart w:id="17" w:name="PDF2_Attachments_7123"/>
      <w:bookmarkStart w:id="18" w:name="Attachments"/>
      <w:bookmarkEnd w:id="16"/>
      <w:bookmarkEnd w:id="17"/>
      <w:r w:rsidRPr="00CD1BAB">
        <w:rPr>
          <w:rFonts w:cs="Arial"/>
          <w:b/>
          <w:bCs/>
          <w:caps/>
          <w:color w:val="000000"/>
          <w:szCs w:val="22"/>
        </w:rPr>
        <w:t>Attachments</w:t>
      </w:r>
    </w:p>
    <w:p w:rsidR="00CD1BAB" w:rsidRDefault="00CD1BAB" w:rsidP="00CD1BAB">
      <w:pPr>
        <w:tabs>
          <w:tab w:val="left" w:pos="720"/>
        </w:tabs>
        <w:spacing w:before="0"/>
        <w:ind w:left="720" w:hanging="720"/>
      </w:pPr>
      <w:r w:rsidRPr="00CD1BAB">
        <w:t>1</w:t>
      </w:r>
      <w:r w:rsidRPr="00CD1BAB">
        <w:tab/>
        <w:t>Draft Planning Proposal, D15/4505</w:t>
      </w:r>
      <w:bookmarkStart w:id="19" w:name="PDFA_Attachment_1"/>
      <w:bookmarkStart w:id="20" w:name="PDFA_7123_1"/>
      <w:r w:rsidRPr="00CD1BAB">
        <w:t xml:space="preserve"> </w:t>
      </w:r>
      <w:bookmarkEnd w:id="19"/>
      <w:bookmarkEnd w:id="20"/>
    </w:p>
    <w:p w:rsidR="00CD1BAB" w:rsidRDefault="00CD1BAB" w:rsidP="00CD1BAB">
      <w:pPr>
        <w:tabs>
          <w:tab w:val="left" w:pos="720"/>
        </w:tabs>
        <w:spacing w:before="0"/>
        <w:ind w:left="720" w:hanging="720"/>
      </w:pPr>
      <w:r w:rsidRPr="00CD1BAB">
        <w:t>2</w:t>
      </w:r>
      <w:r w:rsidRPr="00CD1BAB">
        <w:tab/>
        <w:t>Proponents' Planning Proposal North Orange, D15/4507</w:t>
      </w:r>
      <w:bookmarkStart w:id="21" w:name="PDFA_Attachment_2"/>
      <w:bookmarkStart w:id="22" w:name="PDFA_7123_2"/>
      <w:r w:rsidRPr="00CD1BAB">
        <w:t xml:space="preserve"> </w:t>
      </w:r>
      <w:bookmarkEnd w:id="21"/>
      <w:bookmarkEnd w:id="22"/>
    </w:p>
    <w:p w:rsidR="00CD1BAB" w:rsidRDefault="00CD1BAB" w:rsidP="00CD1BAB">
      <w:pPr>
        <w:tabs>
          <w:tab w:val="left" w:pos="720"/>
        </w:tabs>
        <w:spacing w:before="0"/>
        <w:ind w:left="720" w:hanging="720"/>
      </w:pPr>
      <w:r w:rsidRPr="00CD1BAB">
        <w:t>3</w:t>
      </w:r>
      <w:r w:rsidRPr="00CD1BAB">
        <w:tab/>
        <w:t>Appendix 1 Letter from Orange City Council, D15/4509</w:t>
      </w:r>
      <w:bookmarkStart w:id="23" w:name="PDFA_Attachment_3"/>
      <w:bookmarkStart w:id="24" w:name="PDFA_7123_3"/>
      <w:r w:rsidRPr="00CD1BAB">
        <w:t xml:space="preserve"> </w:t>
      </w:r>
      <w:bookmarkEnd w:id="23"/>
      <w:bookmarkEnd w:id="24"/>
    </w:p>
    <w:p w:rsidR="00CD1BAB" w:rsidRDefault="00CD1BAB" w:rsidP="00CD1BAB">
      <w:pPr>
        <w:tabs>
          <w:tab w:val="left" w:pos="720"/>
        </w:tabs>
        <w:spacing w:before="0"/>
        <w:ind w:left="720" w:hanging="720"/>
      </w:pPr>
      <w:r w:rsidRPr="00CD1BAB">
        <w:t>4</w:t>
      </w:r>
      <w:r w:rsidRPr="00CD1BAB">
        <w:tab/>
        <w:t>Appendix 2 Indicative Concept Layout, D15/4511</w:t>
      </w:r>
      <w:bookmarkStart w:id="25" w:name="PDFA_Attachment_4"/>
      <w:bookmarkStart w:id="26" w:name="PDFA_7123_4"/>
      <w:r w:rsidRPr="00CD1BAB">
        <w:t xml:space="preserve"> </w:t>
      </w:r>
      <w:bookmarkEnd w:id="25"/>
      <w:bookmarkEnd w:id="26"/>
    </w:p>
    <w:p w:rsidR="00CD1BAB" w:rsidRDefault="00CD1BAB" w:rsidP="00CD1BAB">
      <w:pPr>
        <w:tabs>
          <w:tab w:val="left" w:pos="720"/>
        </w:tabs>
        <w:spacing w:before="0"/>
        <w:ind w:left="720" w:hanging="720"/>
      </w:pPr>
      <w:r w:rsidRPr="00CD1BAB">
        <w:t>5</w:t>
      </w:r>
      <w:r w:rsidRPr="00CD1BAB">
        <w:tab/>
        <w:t>Appendix 3 Economic Impact Assessment, D15/4513</w:t>
      </w:r>
      <w:bookmarkStart w:id="27" w:name="PDFA_Attachment_5"/>
      <w:bookmarkStart w:id="28" w:name="PDFA_7123_5"/>
      <w:r w:rsidRPr="00CD1BAB">
        <w:t xml:space="preserve"> </w:t>
      </w:r>
      <w:bookmarkEnd w:id="27"/>
      <w:bookmarkEnd w:id="28"/>
    </w:p>
    <w:p w:rsidR="00CD1BAB" w:rsidRDefault="00CD1BAB" w:rsidP="00CD1BAB">
      <w:pPr>
        <w:tabs>
          <w:tab w:val="left" w:pos="720"/>
        </w:tabs>
        <w:spacing w:before="0"/>
        <w:ind w:left="720" w:hanging="720"/>
      </w:pPr>
      <w:r w:rsidRPr="00CD1BAB">
        <w:t>6</w:t>
      </w:r>
      <w:r w:rsidRPr="00CD1BAB">
        <w:tab/>
        <w:t>Appendix 4 Traffic Review Report, D15/4515</w:t>
      </w:r>
      <w:bookmarkStart w:id="29" w:name="PDFA_Attachment_6"/>
      <w:bookmarkStart w:id="30" w:name="PDFA_7123_6"/>
      <w:r w:rsidRPr="00CD1BAB">
        <w:t xml:space="preserve"> </w:t>
      </w:r>
      <w:bookmarkEnd w:id="29"/>
      <w:bookmarkEnd w:id="30"/>
    </w:p>
    <w:p w:rsidR="00CD1BAB" w:rsidRDefault="00CD1BAB" w:rsidP="00CD1BAB">
      <w:pPr>
        <w:tabs>
          <w:tab w:val="left" w:pos="720"/>
        </w:tabs>
        <w:spacing w:before="0"/>
        <w:ind w:left="720" w:hanging="720"/>
      </w:pPr>
      <w:r w:rsidRPr="00CD1BAB">
        <w:t>7</w:t>
      </w:r>
      <w:r w:rsidRPr="00CD1BAB">
        <w:tab/>
        <w:t>Appendix 5 Deposited Plan, D15/4517</w:t>
      </w:r>
      <w:bookmarkStart w:id="31" w:name="PDFA_Attachment_7"/>
      <w:bookmarkStart w:id="32" w:name="PDFA_7123_7"/>
      <w:r w:rsidRPr="00CD1BAB">
        <w:t xml:space="preserve"> </w:t>
      </w:r>
      <w:bookmarkEnd w:id="31"/>
      <w:bookmarkEnd w:id="32"/>
    </w:p>
    <w:p w:rsidR="00CD1BAB" w:rsidRDefault="00CD1BAB" w:rsidP="00CD1BAB">
      <w:pPr>
        <w:tabs>
          <w:tab w:val="left" w:pos="720"/>
        </w:tabs>
        <w:spacing w:before="0"/>
        <w:ind w:left="720" w:hanging="720"/>
      </w:pPr>
      <w:r w:rsidRPr="00CD1BAB">
        <w:t>8</w:t>
      </w:r>
      <w:r w:rsidRPr="00CD1BAB">
        <w:tab/>
        <w:t>Leyshon Consulting North Orange Advice, D15/4519</w:t>
      </w:r>
      <w:bookmarkStart w:id="33" w:name="PDFA_Attachment_8"/>
      <w:bookmarkStart w:id="34" w:name="PDFA_7123_8"/>
      <w:r w:rsidRPr="00CD1BAB">
        <w:t xml:space="preserve"> </w:t>
      </w:r>
      <w:bookmarkEnd w:id="33"/>
      <w:bookmarkEnd w:id="34"/>
    </w:p>
    <w:p w:rsidR="00CD1BAB" w:rsidRDefault="00CD1BAB" w:rsidP="00CD1BAB">
      <w:pPr>
        <w:tabs>
          <w:tab w:val="left" w:pos="720"/>
        </w:tabs>
        <w:spacing w:before="0"/>
        <w:ind w:left="720" w:hanging="720"/>
      </w:pPr>
      <w:r w:rsidRPr="00CD1BAB">
        <w:t>9</w:t>
      </w:r>
      <w:r w:rsidRPr="00CD1BAB">
        <w:tab/>
        <w:t>Potential Link Road Corridor, D15/4891</w:t>
      </w:r>
      <w:bookmarkStart w:id="35" w:name="PDFA_Attachment_9"/>
      <w:bookmarkStart w:id="36" w:name="PDFA_7123_9"/>
      <w:r w:rsidRPr="00CD1BAB">
        <w:t xml:space="preserve"> </w:t>
      </w:r>
      <w:bookmarkEnd w:id="35"/>
      <w:bookmarkEnd w:id="36"/>
    </w:p>
    <w:p w:rsidR="00735A27" w:rsidRDefault="00CD1BAB" w:rsidP="00CD1BAB">
      <w:pPr>
        <w:tabs>
          <w:tab w:val="left" w:pos="720"/>
        </w:tabs>
        <w:spacing w:before="0"/>
        <w:ind w:left="720" w:hanging="720"/>
      </w:pPr>
      <w:r>
        <w:t xml:space="preserve"> </w:t>
      </w:r>
      <w:bookmarkEnd w:id="18"/>
    </w:p>
    <w:sectPr w:rsidR="00735A27" w:rsidSect="001A6479">
      <w:headerReference w:type="even" r:id="rId15"/>
      <w:type w:val="continuous"/>
      <w:pgSz w:w="11907" w:h="16840" w:code="9"/>
      <w:pgMar w:top="567" w:right="1440" w:bottom="567"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C9" w:rsidRDefault="00AA7CC9" w:rsidP="000915C8">
      <w:r>
        <w:separator/>
      </w:r>
    </w:p>
  </w:endnote>
  <w:endnote w:type="continuationSeparator" w:id="0">
    <w:p w:rsidR="00AA7CC9" w:rsidRDefault="00AA7CC9"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73" w:rsidRPr="00B3155C" w:rsidRDefault="00A65173" w:rsidP="00F63AEC">
    <w:pPr>
      <w:pStyle w:val="Footer"/>
      <w:jc w:val="left"/>
      <w:rPr>
        <w:b w:val="0"/>
        <w:sz w:val="20"/>
        <w:szCs w:val="20"/>
      </w:rPr>
    </w:pPr>
    <w:r w:rsidRPr="00B3155C">
      <w:rPr>
        <w:b w:val="0"/>
        <w:sz w:val="20"/>
        <w:szCs w:val="20"/>
      </w:rPr>
      <w:t xml:space="preserve">Page </w:t>
    </w:r>
    <w:r w:rsidRPr="00B3155C">
      <w:rPr>
        <w:b w:val="0"/>
        <w:sz w:val="20"/>
        <w:szCs w:val="20"/>
      </w:rPr>
      <w:fldChar w:fldCharType="begin"/>
    </w:r>
    <w:r w:rsidRPr="00B3155C">
      <w:rPr>
        <w:b w:val="0"/>
        <w:sz w:val="20"/>
        <w:szCs w:val="20"/>
      </w:rPr>
      <w:instrText xml:space="preserve"> PAGE </w:instrText>
    </w:r>
    <w:r w:rsidRPr="00B3155C">
      <w:rPr>
        <w:b w:val="0"/>
        <w:sz w:val="20"/>
        <w:szCs w:val="20"/>
      </w:rPr>
      <w:fldChar w:fldCharType="separate"/>
    </w:r>
    <w:r w:rsidR="00BC22E1">
      <w:rPr>
        <w:b w:val="0"/>
        <w:sz w:val="20"/>
        <w:szCs w:val="20"/>
      </w:rPr>
      <w:t>12</w:t>
    </w:r>
    <w:r w:rsidRPr="00B3155C">
      <w:rPr>
        <w:b w:val="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0F" w:rsidRPr="00FE779D" w:rsidRDefault="00FE779D"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BC22E1">
      <w:rPr>
        <w:rFonts w:cs="Arial"/>
        <w:noProof/>
        <w:sz w:val="20"/>
      </w:rPr>
      <w:t>13</w:t>
    </w:r>
    <w:r w:rsidRPr="00FE779D">
      <w:rPr>
        <w:rFonts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701"/>
      <w:gridCol w:w="3969"/>
    </w:tblGrid>
    <w:tr w:rsidR="00BE4336" w:rsidTr="000442F9">
      <w:tc>
        <w:tcPr>
          <w:tcW w:w="3969" w:type="dxa"/>
        </w:tcPr>
        <w:p w:rsidR="00BE4336" w:rsidRDefault="00BE4336" w:rsidP="0088101A">
          <w:pPr>
            <w:tabs>
              <w:tab w:val="center" w:pos="4500"/>
            </w:tabs>
            <w:jc w:val="left"/>
            <w:rPr>
              <w:rFonts w:cs="Arial"/>
              <w:noProof/>
              <w:sz w:val="20"/>
            </w:rPr>
          </w:pPr>
          <w:bookmarkStart w:id="4" w:name="_Hlk401312453"/>
          <w:bookmarkStart w:id="5" w:name="_Hlk401312868"/>
          <w:r w:rsidRPr="00BA62E3">
            <w:rPr>
              <w:b/>
              <w:sz w:val="20"/>
              <w:szCs w:val="20"/>
            </w:rPr>
            <w:t xml:space="preserve">Item </w:t>
          </w:r>
          <w:r w:rsidRPr="00B950A7">
            <w:rPr>
              <w:b/>
              <w:sz w:val="20"/>
              <w:szCs w:val="20"/>
            </w:rPr>
            <w:fldChar w:fldCharType="begin"/>
          </w:r>
          <w:r w:rsidRPr="00B950A7">
            <w:rPr>
              <w:b/>
              <w:sz w:val="20"/>
              <w:szCs w:val="20"/>
            </w:rPr>
            <w:instrText xml:space="preserve"> DOCVARIABLE "dvItemNumberMasked" \* Charformat </w:instrText>
          </w:r>
          <w:r w:rsidRPr="00B950A7">
            <w:rPr>
              <w:b/>
              <w:sz w:val="20"/>
              <w:szCs w:val="20"/>
            </w:rPr>
            <w:fldChar w:fldCharType="separate"/>
          </w:r>
          <w:r w:rsidR="00F41B08">
            <w:rPr>
              <w:b/>
              <w:sz w:val="20"/>
              <w:szCs w:val="20"/>
            </w:rPr>
            <w:t>5.5</w:t>
          </w:r>
          <w:r w:rsidRPr="00B950A7">
            <w:rPr>
              <w:b/>
              <w:sz w:val="20"/>
              <w:szCs w:val="20"/>
            </w:rPr>
            <w:fldChar w:fldCharType="end"/>
          </w:r>
        </w:p>
      </w:tc>
      <w:tc>
        <w:tcPr>
          <w:tcW w:w="1701" w:type="dxa"/>
        </w:tcPr>
        <w:p w:rsidR="00BE4336" w:rsidRDefault="00BE4336" w:rsidP="00BE4336">
          <w:pPr>
            <w:tabs>
              <w:tab w:val="center" w:pos="4500"/>
            </w:tabs>
            <w:jc w:val="center"/>
            <w:rPr>
              <w:b/>
              <w:sz w:val="20"/>
              <w:szCs w:val="20"/>
            </w:rPr>
          </w:pPr>
          <w:r w:rsidRPr="00B3155C">
            <w:rPr>
              <w:sz w:val="20"/>
              <w:szCs w:val="20"/>
            </w:rPr>
            <w:t xml:space="preserve">Page </w:t>
          </w:r>
          <w:r w:rsidRPr="00B3155C">
            <w:rPr>
              <w:b/>
              <w:sz w:val="20"/>
              <w:szCs w:val="20"/>
            </w:rPr>
            <w:fldChar w:fldCharType="begin"/>
          </w:r>
          <w:r w:rsidRPr="00B3155C">
            <w:rPr>
              <w:sz w:val="20"/>
              <w:szCs w:val="20"/>
            </w:rPr>
            <w:instrText xml:space="preserve"> PAGE </w:instrText>
          </w:r>
          <w:r w:rsidRPr="00B3155C">
            <w:rPr>
              <w:b/>
              <w:sz w:val="20"/>
              <w:szCs w:val="20"/>
            </w:rPr>
            <w:fldChar w:fldCharType="separate"/>
          </w:r>
          <w:r w:rsidR="00BC22E1">
            <w:rPr>
              <w:noProof/>
              <w:sz w:val="20"/>
              <w:szCs w:val="20"/>
            </w:rPr>
            <w:t>1</w:t>
          </w:r>
          <w:r w:rsidRPr="00B3155C">
            <w:rPr>
              <w:b/>
              <w:sz w:val="20"/>
              <w:szCs w:val="20"/>
            </w:rPr>
            <w:fldChar w:fldCharType="end"/>
          </w:r>
        </w:p>
      </w:tc>
      <w:tc>
        <w:tcPr>
          <w:tcW w:w="3969" w:type="dxa"/>
        </w:tcPr>
        <w:p w:rsidR="00BE4336" w:rsidRDefault="00BE4336" w:rsidP="0088101A">
          <w:pPr>
            <w:tabs>
              <w:tab w:val="center" w:pos="4500"/>
            </w:tabs>
            <w:jc w:val="right"/>
            <w:rPr>
              <w:rFonts w:cs="Arial"/>
              <w:noProof/>
              <w:sz w:val="20"/>
            </w:rPr>
          </w:pPr>
          <w:r>
            <w:rPr>
              <w:b/>
              <w:sz w:val="20"/>
              <w:szCs w:val="20"/>
            </w:rPr>
            <w:t xml:space="preserve">Item </w:t>
          </w:r>
          <w:r w:rsidRPr="00B950A7">
            <w:rPr>
              <w:b/>
              <w:sz w:val="20"/>
              <w:szCs w:val="20"/>
            </w:rPr>
            <w:fldChar w:fldCharType="begin"/>
          </w:r>
          <w:r w:rsidRPr="00B950A7">
            <w:rPr>
              <w:b/>
              <w:sz w:val="20"/>
              <w:szCs w:val="20"/>
            </w:rPr>
            <w:instrText xml:space="preserve"> DOCVARIABLE "dvItemNumberMasked" \* Charformat </w:instrText>
          </w:r>
          <w:r w:rsidRPr="00B950A7">
            <w:rPr>
              <w:b/>
              <w:sz w:val="20"/>
              <w:szCs w:val="20"/>
            </w:rPr>
            <w:fldChar w:fldCharType="separate"/>
          </w:r>
          <w:r w:rsidR="00F41B08">
            <w:rPr>
              <w:b/>
              <w:sz w:val="20"/>
              <w:szCs w:val="20"/>
            </w:rPr>
            <w:t>5.5</w:t>
          </w:r>
          <w:r w:rsidRPr="00B950A7">
            <w:rPr>
              <w:b/>
              <w:sz w:val="20"/>
              <w:szCs w:val="20"/>
            </w:rPr>
            <w:fldChar w:fldCharType="end"/>
          </w:r>
        </w:p>
      </w:tc>
    </w:tr>
    <w:bookmarkEnd w:id="4"/>
    <w:bookmarkEnd w:id="5"/>
  </w:tbl>
  <w:p w:rsidR="00A65173" w:rsidRPr="00BE4336" w:rsidRDefault="00A65173" w:rsidP="0088101A">
    <w:pPr>
      <w:tabs>
        <w:tab w:val="center" w:pos="4500"/>
        <w:tab w:val="right" w:pos="9072"/>
      </w:tabs>
      <w:spacing w:before="0"/>
      <w:jc w:val="left"/>
      <w:rPr>
        <w:rFonts w:cs="Arial"/>
        <w:noProof/>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C9" w:rsidRDefault="00AA7CC9" w:rsidP="000915C8">
      <w:r>
        <w:separator/>
      </w:r>
    </w:p>
  </w:footnote>
  <w:footnote w:type="continuationSeparator" w:id="0">
    <w:p w:rsidR="00AA7CC9" w:rsidRDefault="00AA7CC9" w:rsidP="000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5C" w:rsidRDefault="00B3155C" w:rsidP="00B3155C">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F41B08">
      <w:rPr>
        <w:b/>
        <w:caps/>
      </w:rPr>
      <w:t>Council Meeting</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F41B08">
      <w:rPr>
        <w:b/>
        <w:caps/>
      </w:rPr>
      <w:t>20 September 2016</w:t>
    </w:r>
    <w:r w:rsidRPr="00856843">
      <w:rPr>
        <w:b/>
        <w:caps/>
      </w:rPr>
      <w:fldChar w:fldCharType="end"/>
    </w:r>
  </w:p>
  <w:p w:rsidR="00B3155C" w:rsidRDefault="00F41B08" w:rsidP="00AF6F23">
    <w:pPr>
      <w:pBdr>
        <w:bottom w:val="single" w:sz="8" w:space="1" w:color="auto"/>
      </w:pBdr>
      <w:spacing w:before="0" w:after="240"/>
      <w:ind w:left="567" w:hanging="567"/>
    </w:pPr>
    <w:fldSimple w:instr=" DOCVARIABLE &quot;dvItemNumberMasked&quot; \* Charformat ">
      <w:r>
        <w:t>5.5</w:t>
      </w:r>
    </w:fldSimple>
    <w:r w:rsidR="00B3155C" w:rsidRPr="00475A5C">
      <w:tab/>
    </w:r>
    <w:fldSimple w:instr=" DOCVARIABLE &quot;dvSubjectWithSoftReturns&quot; \* Charformat ">
      <w:r>
        <w:t>Planning Proposal - North Orange Shopping Centre Expansion</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400966593"/>
  <w:bookmarkStart w:id="3" w:name="_Hlk400966597"/>
  <w:p w:rsidR="00FE779D" w:rsidRDefault="00FE779D"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F41B08">
      <w:rPr>
        <w:b/>
        <w:caps/>
      </w:rPr>
      <w:t>Council Meeting</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F41B08">
      <w:rPr>
        <w:b/>
        <w:caps/>
      </w:rPr>
      <w:t>20 September 2016</w:t>
    </w:r>
    <w:r w:rsidRPr="00856843">
      <w:rPr>
        <w:b/>
        <w:caps/>
      </w:rPr>
      <w:fldChar w:fldCharType="end"/>
    </w:r>
  </w:p>
  <w:p w:rsidR="00512109" w:rsidRDefault="00F41B08" w:rsidP="00735A27">
    <w:pPr>
      <w:pBdr>
        <w:bottom w:val="single" w:sz="8" w:space="1" w:color="auto"/>
      </w:pBdr>
      <w:spacing w:before="0" w:after="240"/>
      <w:ind w:left="567" w:hanging="567"/>
    </w:pPr>
    <w:fldSimple w:instr=" DOCVARIABLE &quot;dvItemNumberMasked&quot; \* Charformat ">
      <w:r>
        <w:t>5.5</w:t>
      </w:r>
    </w:fldSimple>
    <w:r w:rsidR="00512109" w:rsidRPr="00475A5C">
      <w:tab/>
    </w:r>
    <w:fldSimple w:instr=" DOCVARIABLE &quot;dvSubjectWithSoftReturns&quot; \* Charformat ">
      <w:r>
        <w:t>Planning Proposal - North Orange Shopping Centre Expansion</w:t>
      </w:r>
    </w:fldSimple>
  </w:p>
  <w:bookmarkEnd w:id="2"/>
  <w:bookmarkEnd w:i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A6" w:rsidRPr="00E845A6" w:rsidRDefault="007E61DA" w:rsidP="00E845A6">
    <w:pPr>
      <w:tabs>
        <w:tab w:val="right" w:pos="9060"/>
      </w:tabs>
      <w:spacing w:before="0"/>
      <w:rPr>
        <w:b/>
        <w:bCs/>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F41B08">
      <w:rPr>
        <w:b/>
        <w:caps/>
      </w:rPr>
      <w:t>Council Meeting</w:t>
    </w:r>
    <w:r w:rsidRPr="00856843">
      <w:rPr>
        <w:b/>
        <w:caps/>
      </w:rPr>
      <w:fldChar w:fldCharType="end"/>
    </w:r>
    <w:r w:rsidR="00FE779D">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F41B08">
      <w:rPr>
        <w:b/>
        <w:caps/>
      </w:rPr>
      <w:t>20 September 2016</w:t>
    </w:r>
    <w:r w:rsidRPr="00856843">
      <w:rPr>
        <w:b/>
        <w:caps/>
      </w:rPr>
      <w:fldChar w:fldCharType="end"/>
    </w:r>
  </w:p>
  <w:p w:rsidR="00E845A6" w:rsidRPr="00E845A6" w:rsidRDefault="00E845A6" w:rsidP="00E845A6">
    <w:pPr>
      <w:pBdr>
        <w:bottom w:val="single" w:sz="4" w:space="1" w:color="auto"/>
      </w:pBdr>
      <w:tabs>
        <w:tab w:val="center" w:pos="4513"/>
        <w:tab w:val="right" w:pos="9026"/>
      </w:tabs>
      <w:spacing w:before="0"/>
    </w:pPr>
  </w:p>
  <w:p w:rsidR="00A65173" w:rsidRDefault="00A65173" w:rsidP="00E845A6">
    <w:pPr>
      <w:tabs>
        <w:tab w:val="left" w:pos="2340"/>
        <w:tab w:val="right" w:pos="9061"/>
      </w:tabs>
      <w:spacing w:before="0"/>
      <w:rPr>
        <w:b/>
        <w:cap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EC" w:rsidRDefault="00F63AEC" w:rsidP="00F63AEC">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F41B08">
      <w:rPr>
        <w:b/>
        <w:caps/>
      </w:rPr>
      <w:t>Council Meeting</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F41B08">
      <w:rPr>
        <w:b/>
        <w:caps/>
      </w:rPr>
      <w:t>20 September 2016</w:t>
    </w:r>
    <w:r w:rsidRPr="00856843">
      <w:rPr>
        <w:b/>
        <w:caps/>
      </w:rPr>
      <w:fldChar w:fldCharType="end"/>
    </w:r>
  </w:p>
  <w:p w:rsidR="00F63AEC" w:rsidRDefault="00F41B08" w:rsidP="00735A27">
    <w:pPr>
      <w:pBdr>
        <w:bottom w:val="single" w:sz="8" w:space="1" w:color="auto"/>
      </w:pBdr>
      <w:spacing w:before="0" w:after="240"/>
      <w:ind w:left="567" w:hanging="567"/>
    </w:pPr>
    <w:fldSimple w:instr=" DOCVARIABLE &quot;dvItemNumberMasked&quot; \* Charformat ">
      <w:r>
        <w:t>5.5</w:t>
      </w:r>
    </w:fldSimple>
    <w:r w:rsidR="00F63AEC" w:rsidRPr="00475A5C">
      <w:tab/>
    </w:r>
    <w:fldSimple w:instr=" DOCVARIABLE &quot;dvSubjectWithSoftReturns&quot; \* Charformat ">
      <w:r>
        <w:t>Planning Proposal - North Orange Shopping Centre Expansion</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17056C"/>
    <w:multiLevelType w:val="hybridMultilevel"/>
    <w:tmpl w:val="8122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12656AD"/>
    <w:multiLevelType w:val="hybridMultilevel"/>
    <w:tmpl w:val="F4483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43726C"/>
    <w:multiLevelType w:val="hybridMultilevel"/>
    <w:tmpl w:val="E470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7"/>
  </w:num>
  <w:num w:numId="5">
    <w:abstractNumId w:val="3"/>
  </w:num>
  <w:num w:numId="6">
    <w:abstractNumId w:val="13"/>
  </w:num>
  <w:num w:numId="7">
    <w:abstractNumId w:val="8"/>
  </w:num>
  <w:num w:numId="8">
    <w:abstractNumId w:val="4"/>
  </w:num>
  <w:num w:numId="9">
    <w:abstractNumId w:val="11"/>
  </w:num>
  <w:num w:numId="10">
    <w:abstractNumId w:val="0"/>
  </w:num>
  <w:num w:numId="11">
    <w:abstractNumId w:val="0"/>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1"/>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KrWVEUz58e2GswYiOAxq7LorXlDQ4Rz1ChOCS9fcCDTUlbX3MbDHbhX9jH5tH9+6KNP/biPpd1LxXlsf3nPFA==" w:salt="M+PFbJd6umvRp/eSBimczw=="/>
  <w:defaultTabStop w:val="567"/>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ctualAgendaSection" w:val="General Reports"/>
    <w:docVar w:name="dvActualAgendaSectionsId" w:val="4"/>
    <w:docVar w:name="dvAgendaItem" w:val="Standard Report"/>
    <w:docVar w:name="dvAgendaItemAbbreviation" w:val="SR"/>
    <w:docVar w:name="dvAgendaItemsID" w:val="1"/>
    <w:docVar w:name="dvAgendaSection" w:val="General Reports"/>
    <w:docVar w:name="dvAgendaSectionsID" w:val="4"/>
    <w:docVar w:name="dvAgendaText" w:val=" "/>
    <w:docVar w:name="dvApproved" w:val="False"/>
    <w:docVar w:name="dvApproversArray" w:val="333þ316þ294þ"/>
    <w:docVar w:name="dvAttachmentConfidentialFlag" w:val="False"/>
    <w:docVar w:name="dvAttachmentCount" w:val="9"/>
    <w:docVar w:name="dvAttachmentPages" w:val="0"/>
    <w:docVar w:name="dvAttachmentsArray" w:val="Draft Planning Proposalý0ýýýýýFalseýFalseýFalseý0ýD15/4505ý0ýFalseý10903ýFalseýý4/08/2016 5:05:16 PMýýTrueýTrueýTrueýTrueþProponents' Planning Proposal North Orangeý0ýýýýýFalseýFalseýFalseý1ýD15/4507ý0ýFalseý10904ýFalseýý4/08/2016 5:05:16 PMýýTrueýTrueýTrueýTrueþAppendix 1 Letter from Orange City Councilý0ýýýýýFalseýFalseýFalseý1ýD15/4509ý0ýFalseý10905ýFalseýý4/08/2016 5:05:16 PMýýTrueýTrueýTrueýTrueþAppendix 2 Indicative Concept Layoutý0ýýýýýFalseýFalseýFalseý1ýD15/4511ý0ýFalseý10906ýFalseýý4/08/2016 5:05:16 PMýýTrueýTrueýTrueýTrueþAppendix 3 Economic Impact Assessmentý0ýýýýýFalseýFalseýFalseý1ýD15/4513ý0ýFalseý10907ýFalseýý4/08/2016 5:05:16 PMýýTrueýTrueýTrueýTrueþAppendix 4 Traffic Review Reportý0ýýýýýFalseýFalseýFalseý1ýD15/4515ý0ýFalseý10908ýFalseýý4/08/2016 5:05:16 PMýýTrueýTrueýTrueýTrueþAppendix 5 Deposited Planý0ýýýýýFalseýFalseýFalseý1ýD15/4517ý0ýFalseý10909ýFalseýý4/08/2016 5:05:16 PMýýTrueýTrueýTrueýTrueþLeyshon Consulting North Orange Adviceý0ýýýýýFalseýFalseýFalseý1ýD15/4519ý0ýFalseý10910ýFalseýý4/08/2016 5:05:16 PMýýTrueýTrueýTrueýTrueþPotential Link Road Corridorý0ýýýýýFalseýFalseýFalseý1ýD15/4891ý0ýFalseý10911ýFalseýý4/08/2016 5:05:16 PMýýTrueýTrueýTrueýTrue"/>
    <w:docVar w:name="dvAttachmentsChanged" w:val="0"/>
    <w:docVar w:name="dvAuthor" w:val="Craig Mortell"/>
    <w:docVar w:name="dvAuthor2" w:val=" "/>
    <w:docVar w:name="dvAuthor3" w:val=" "/>
    <w:docVar w:name="dvAuthorID" w:val="338"/>
    <w:docVar w:name="dvAuthorID2" w:val=" "/>
    <w:docVar w:name="dvAuthorID3" w:val=" "/>
    <w:docVar w:name="dvAuthorPhone" w:val=" "/>
    <w:docVar w:name="dvAuthors" w:val="Craig Mortell"/>
    <w:docVar w:name="dvAuthorsArray" w:val="338þ"/>
    <w:docVar w:name="dvAuthorsNameInitials" w:val=" "/>
    <w:docVar w:name="dvAuthorTitle" w:val="Senior Planner"/>
    <w:docVar w:name="dvAuthorTitle2" w:val=" "/>
    <w:docVar w:name="dvAuthorTitle3" w:val=" "/>
    <w:docVar w:name="dvChairmansCommitteeArray" w:val=" "/>
    <w:docVar w:name="dvClosedStatusChanged" w:val="False"/>
    <w:docVar w:name="dvCommittee" w:val="Council"/>
    <w:docVar w:name="dvCommitteeAbbreviation" w:val="CCL"/>
    <w:docVar w:name="dvCommitteeEmailAddress" w:val=" "/>
    <w:docVar w:name="dvCommitteeID" w:val="1"/>
    <w:docVar w:name="dvCommitteeName" w:val="Council Meeting"/>
    <w:docVar w:name="dvCommitteeQuorum" w:val="Michelle Catlin"/>
    <w:docVar w:name="dvCommitteeReportId" w:val="0"/>
    <w:docVar w:name="dvConfidentialText" w:val=" "/>
    <w:docVar w:name="dvConfidentialType" w:val="P"/>
    <w:docVar w:name="dvCorroID" w:val="7123"/>
    <w:docVar w:name="dvCouncilId" w:val="0"/>
    <w:docVar w:name="dvCouncilText" w:val=" "/>
    <w:docVar w:name="dvCurrentReferencesArray" w:val=" "/>
    <w:docVar w:name="dvDAApplicant" w:val=" "/>
    <w:docVar w:name="dvDAOwner" w:val=" "/>
    <w:docVar w:name="dvDate" w:val="4/08/2016"/>
    <w:docVar w:name="dvDateMeeting" w:val="20 September 2016"/>
    <w:docVar w:name="dvDateMeetingDisplay" w:val="20 September 2016"/>
    <w:docVar w:name="dvDateMeetingId" w:val="845"/>
    <w:docVar w:name="dvDateModified" w:val="14/09/2016"/>
    <w:docVar w:name="dvDeferredFromDate" w:val="31/12/1899"/>
    <w:docVar w:name="dvDeferredFromMeetingId" w:val="0"/>
    <w:docVar w:name="dvDeferredFromSpecialFlag" w:val="False"/>
    <w:docVar w:name="dvDivisionHeadName" w:val="David Waddell"/>
    <w:docVar w:name="dvDivisionID" w:val="3"/>
    <w:docVar w:name="dvDivisionName" w:val="Development Services"/>
    <w:docVar w:name="dvDocumentChanged" w:val="0"/>
    <w:docVar w:name="dvDocumentTypeName" w:val=" "/>
    <w:docVar w:name="dvDoNotCheckIn" w:val="0"/>
    <w:docVar w:name="dvEDMSContainerId" w:val="F1624"/>
    <w:docVar w:name="dvEDMSContainerNumber" w:val=" "/>
    <w:docVar w:name="dvEDMSContainerTitle" w:val="Land Use and Planning - Local Environmental Plans (LEP) 2011 - Amendment 8 - Telopea Way"/>
    <w:docVar w:name="dvEDRMSDestinationFolderId" w:val=" "/>
    <w:docVar w:name="dvEDRMSDestinationFolderTitle" w:val=" "/>
    <w:docVar w:name="dvFileName" w:val="CCL_20092016_SR_845_6.DOCX"/>
    <w:docVar w:name="dvFileNumber" w:val="2016/1819"/>
    <w:docVar w:name="dvFilePath" w:val="\\occapp03\Infocouncil\Checkout\&lt;LOGIN&gt;"/>
    <w:docVar w:name="dvFileRevisionNotRetained" w:val="0"/>
    <w:docVar w:name="dvFirstTime" w:val="No"/>
    <w:docVar w:name="dvForAction" w:val="1"/>
    <w:docVar w:name="dvForActionCompletionDate" w:val="20 September 2016"/>
    <w:docVar w:name="dvForceRevision" w:val="0"/>
    <w:docVar w:name="dvheadertext" w:val=" "/>
    <w:docVar w:name="dvItemNumber" w:val="5"/>
    <w:docVar w:name="dvItemNumberMasked" w:val="5.5"/>
    <w:docVar w:name="dvItemNumberMaskIdentifier" w:val=" "/>
    <w:docVar w:name="dvLastSecurityLogins" w:val=" "/>
    <w:docVar w:name="dvMasterProgramId" w:val="1"/>
    <w:docVar w:name="dvMasterProgramItem1" w:val="Objective 1"/>
    <w:docVar w:name="dvMasterProgramItem2" w:val="1.2 Our City - Information and advice provided for the decision-making process will be succinct, reasoned, accurate, timely and balanced"/>
    <w:docVar w:name="dvMasterProgramItemID" w:val="1534"/>
    <w:docVar w:name="dvMasterProgramItemsArray" w:val="1532þ1534þ"/>
    <w:docVar w:name="dvMasterProgramName" w:val="2016"/>
    <w:docVar w:name="dvMasterSequenceNumber" w:val="5"/>
    <w:docVar w:name="dvMinutedForMayor" w:val="0"/>
    <w:docVar w:name="dvMinutedForName" w:val=" "/>
    <w:docVar w:name="dvMinutedForTitle" w:val=" "/>
    <w:docVar w:name="dvNewDoc" w:val=" "/>
    <w:docVar w:name="dvOfficers" w:val="David Waddell; Chris Devitt; Kathy Woolley"/>
    <w:docVar w:name="dvOfficersArray" w:val="David WaddellýDevelopment ServicesþChris DevittýTechnical ServicesþKathy WoolleyýCorporate and Commercial Servicesþ"/>
    <w:docVar w:name="dvOldChairmansCommitteeArray" w:val=" "/>
    <w:docVar w:name="dvOldPresentationsArray" w:val=" "/>
    <w:docVar w:name="dvOrderNumber" w:val="6"/>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2016/1819"/>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6"/>
    <w:docVar w:name="dvRelatedReportId" w:val="0"/>
    <w:docVar w:name="dvReportFrom" w:val="Director Development Services"/>
    <w:docVar w:name="dvReportName" w:val="5.5 Planning Proposal - North Orange Shopping Centre Expansion"/>
    <w:docVar w:name="dvReportNumber" w:val="5"/>
    <w:docVar w:name="dvReportTo" w:val="General Manager"/>
    <w:docVar w:name="dvRequestors" w:val=" "/>
    <w:docVar w:name="dvRequestors2Array" w:val=" "/>
    <w:docVar w:name="dvRequestorsArray" w:val=" "/>
    <w:docVar w:name="dvSequenceNumber" w:val="5"/>
    <w:docVar w:name="dvSpecialFlag" w:val="False"/>
    <w:docVar w:name="dvSubject" w:val="Planning Proposal - North Orange Shopping Centre Expansion"/>
    <w:docVar w:name="dvSubjectWithSoftReturns" w:val="Planning Proposal - North Orange Shopping Centre Expansion"/>
    <w:docVar w:name="dvSupplementary" w:val="0"/>
    <w:docVar w:name="dvTitle" w:val="General Manager - 20 00 2016"/>
    <w:docVar w:name="dvTypistInitials" w:val=" "/>
    <w:docVar w:name="dvUpdateDatabase" w:val="0"/>
    <w:docVar w:name="dvUtility" w:val=" "/>
    <w:docVar w:name="dvUtilityCheckbox" w:val="0"/>
    <w:docVar w:name="dvUtilityCheckbox2" w:val="0"/>
    <w:docVar w:name="dvVersion" w:val="01"/>
    <w:docVar w:name="dvYear" w:val="2016"/>
  </w:docVars>
  <w:rsids>
    <w:rsidRoot w:val="00806C1A"/>
    <w:rsid w:val="0000067E"/>
    <w:rsid w:val="00001622"/>
    <w:rsid w:val="00006B2F"/>
    <w:rsid w:val="00007CE1"/>
    <w:rsid w:val="00007EF5"/>
    <w:rsid w:val="0002292D"/>
    <w:rsid w:val="00033D64"/>
    <w:rsid w:val="00035EED"/>
    <w:rsid w:val="00036D91"/>
    <w:rsid w:val="000442F9"/>
    <w:rsid w:val="00051553"/>
    <w:rsid w:val="00051FA3"/>
    <w:rsid w:val="00057AB7"/>
    <w:rsid w:val="000611A9"/>
    <w:rsid w:val="00065892"/>
    <w:rsid w:val="00071AE8"/>
    <w:rsid w:val="00072565"/>
    <w:rsid w:val="0007714B"/>
    <w:rsid w:val="00082FA0"/>
    <w:rsid w:val="0008717B"/>
    <w:rsid w:val="000915C8"/>
    <w:rsid w:val="00097080"/>
    <w:rsid w:val="000A5F2A"/>
    <w:rsid w:val="000A6F8F"/>
    <w:rsid w:val="000C6C47"/>
    <w:rsid w:val="000D0455"/>
    <w:rsid w:val="000D1326"/>
    <w:rsid w:val="000D6099"/>
    <w:rsid w:val="000D60BF"/>
    <w:rsid w:val="000E3A2D"/>
    <w:rsid w:val="000E4BA8"/>
    <w:rsid w:val="000F0ACE"/>
    <w:rsid w:val="000F3E80"/>
    <w:rsid w:val="000F55E4"/>
    <w:rsid w:val="001026A2"/>
    <w:rsid w:val="00120A51"/>
    <w:rsid w:val="001330C4"/>
    <w:rsid w:val="00142FDA"/>
    <w:rsid w:val="00147741"/>
    <w:rsid w:val="00155743"/>
    <w:rsid w:val="001605E8"/>
    <w:rsid w:val="00160918"/>
    <w:rsid w:val="001616E2"/>
    <w:rsid w:val="00166F20"/>
    <w:rsid w:val="00167222"/>
    <w:rsid w:val="00171F04"/>
    <w:rsid w:val="0017517C"/>
    <w:rsid w:val="001871DA"/>
    <w:rsid w:val="0019650B"/>
    <w:rsid w:val="001A1351"/>
    <w:rsid w:val="001A6479"/>
    <w:rsid w:val="001A6FB9"/>
    <w:rsid w:val="001C07C6"/>
    <w:rsid w:val="001C09CC"/>
    <w:rsid w:val="001C3212"/>
    <w:rsid w:val="001C59FF"/>
    <w:rsid w:val="001D17DE"/>
    <w:rsid w:val="001E3471"/>
    <w:rsid w:val="002076C0"/>
    <w:rsid w:val="00210C06"/>
    <w:rsid w:val="0021354C"/>
    <w:rsid w:val="00213D28"/>
    <w:rsid w:val="0021414A"/>
    <w:rsid w:val="00216605"/>
    <w:rsid w:val="002254D9"/>
    <w:rsid w:val="00233C4C"/>
    <w:rsid w:val="00234F82"/>
    <w:rsid w:val="0024210A"/>
    <w:rsid w:val="00245A64"/>
    <w:rsid w:val="00251D7B"/>
    <w:rsid w:val="00256405"/>
    <w:rsid w:val="00261DCC"/>
    <w:rsid w:val="002644F3"/>
    <w:rsid w:val="002712C9"/>
    <w:rsid w:val="00275037"/>
    <w:rsid w:val="00275C6C"/>
    <w:rsid w:val="00285E3A"/>
    <w:rsid w:val="00285E48"/>
    <w:rsid w:val="002B020B"/>
    <w:rsid w:val="002B3CB3"/>
    <w:rsid w:val="002B4E33"/>
    <w:rsid w:val="002B535A"/>
    <w:rsid w:val="002B74E2"/>
    <w:rsid w:val="002C0E92"/>
    <w:rsid w:val="002C2402"/>
    <w:rsid w:val="002C4644"/>
    <w:rsid w:val="002C78F2"/>
    <w:rsid w:val="002D07D6"/>
    <w:rsid w:val="002D3115"/>
    <w:rsid w:val="002D40FE"/>
    <w:rsid w:val="002D4EDF"/>
    <w:rsid w:val="002D7BF6"/>
    <w:rsid w:val="002F088B"/>
    <w:rsid w:val="002F1218"/>
    <w:rsid w:val="002F2850"/>
    <w:rsid w:val="002F7089"/>
    <w:rsid w:val="00303427"/>
    <w:rsid w:val="00303E46"/>
    <w:rsid w:val="00305DC9"/>
    <w:rsid w:val="00311949"/>
    <w:rsid w:val="00313990"/>
    <w:rsid w:val="00320B71"/>
    <w:rsid w:val="003254EE"/>
    <w:rsid w:val="003258B9"/>
    <w:rsid w:val="00325AAE"/>
    <w:rsid w:val="0034718A"/>
    <w:rsid w:val="003501C4"/>
    <w:rsid w:val="00352197"/>
    <w:rsid w:val="003608E4"/>
    <w:rsid w:val="003628C3"/>
    <w:rsid w:val="00364B5D"/>
    <w:rsid w:val="0036634E"/>
    <w:rsid w:val="00366494"/>
    <w:rsid w:val="00374C15"/>
    <w:rsid w:val="00380117"/>
    <w:rsid w:val="0038166D"/>
    <w:rsid w:val="00393035"/>
    <w:rsid w:val="003943B9"/>
    <w:rsid w:val="00396745"/>
    <w:rsid w:val="003D5E22"/>
    <w:rsid w:val="003E5483"/>
    <w:rsid w:val="003E64A6"/>
    <w:rsid w:val="003F301A"/>
    <w:rsid w:val="00411BDA"/>
    <w:rsid w:val="00414469"/>
    <w:rsid w:val="00415276"/>
    <w:rsid w:val="00416325"/>
    <w:rsid w:val="0042489D"/>
    <w:rsid w:val="00444090"/>
    <w:rsid w:val="00451A7E"/>
    <w:rsid w:val="00452E95"/>
    <w:rsid w:val="0045347E"/>
    <w:rsid w:val="004560B7"/>
    <w:rsid w:val="00465053"/>
    <w:rsid w:val="00467889"/>
    <w:rsid w:val="00475A5C"/>
    <w:rsid w:val="00490CCB"/>
    <w:rsid w:val="004A149E"/>
    <w:rsid w:val="004A75E3"/>
    <w:rsid w:val="004B4583"/>
    <w:rsid w:val="004B7C55"/>
    <w:rsid w:val="004D5638"/>
    <w:rsid w:val="004E2438"/>
    <w:rsid w:val="004E4B34"/>
    <w:rsid w:val="004E4D85"/>
    <w:rsid w:val="004F490C"/>
    <w:rsid w:val="004F6083"/>
    <w:rsid w:val="00500791"/>
    <w:rsid w:val="005022B2"/>
    <w:rsid w:val="005111DD"/>
    <w:rsid w:val="00512109"/>
    <w:rsid w:val="005151CF"/>
    <w:rsid w:val="005163DF"/>
    <w:rsid w:val="0054394E"/>
    <w:rsid w:val="00543C5F"/>
    <w:rsid w:val="005459CF"/>
    <w:rsid w:val="00546FFC"/>
    <w:rsid w:val="00550EA9"/>
    <w:rsid w:val="00554C06"/>
    <w:rsid w:val="0055710F"/>
    <w:rsid w:val="00574877"/>
    <w:rsid w:val="00584930"/>
    <w:rsid w:val="00584B93"/>
    <w:rsid w:val="00596473"/>
    <w:rsid w:val="00597AE0"/>
    <w:rsid w:val="005A4625"/>
    <w:rsid w:val="005A7631"/>
    <w:rsid w:val="005A7E40"/>
    <w:rsid w:val="005B3D4B"/>
    <w:rsid w:val="005B4792"/>
    <w:rsid w:val="005C0548"/>
    <w:rsid w:val="005C300D"/>
    <w:rsid w:val="005D734C"/>
    <w:rsid w:val="005E78D1"/>
    <w:rsid w:val="0060154B"/>
    <w:rsid w:val="0061020D"/>
    <w:rsid w:val="00620DD2"/>
    <w:rsid w:val="006212DE"/>
    <w:rsid w:val="00634CF6"/>
    <w:rsid w:val="006465EF"/>
    <w:rsid w:val="00650D75"/>
    <w:rsid w:val="00652FDE"/>
    <w:rsid w:val="00660CED"/>
    <w:rsid w:val="00662267"/>
    <w:rsid w:val="00664FEE"/>
    <w:rsid w:val="006656F3"/>
    <w:rsid w:val="0067512A"/>
    <w:rsid w:val="006761A4"/>
    <w:rsid w:val="00677BD7"/>
    <w:rsid w:val="0068099B"/>
    <w:rsid w:val="00685ED5"/>
    <w:rsid w:val="006875A0"/>
    <w:rsid w:val="00690357"/>
    <w:rsid w:val="00691504"/>
    <w:rsid w:val="006917EC"/>
    <w:rsid w:val="006A231A"/>
    <w:rsid w:val="006A2F5B"/>
    <w:rsid w:val="006A40E7"/>
    <w:rsid w:val="006A4D2F"/>
    <w:rsid w:val="006A6823"/>
    <w:rsid w:val="006B639A"/>
    <w:rsid w:val="006D06B2"/>
    <w:rsid w:val="006D53C1"/>
    <w:rsid w:val="006F6D50"/>
    <w:rsid w:val="00702DFF"/>
    <w:rsid w:val="0071350B"/>
    <w:rsid w:val="00714DC8"/>
    <w:rsid w:val="0071598D"/>
    <w:rsid w:val="00716CFE"/>
    <w:rsid w:val="00717A6A"/>
    <w:rsid w:val="0072009E"/>
    <w:rsid w:val="00724EC7"/>
    <w:rsid w:val="00725646"/>
    <w:rsid w:val="007337C9"/>
    <w:rsid w:val="00735A27"/>
    <w:rsid w:val="00737D20"/>
    <w:rsid w:val="0074501C"/>
    <w:rsid w:val="0074698A"/>
    <w:rsid w:val="00747D06"/>
    <w:rsid w:val="007519D9"/>
    <w:rsid w:val="00756D14"/>
    <w:rsid w:val="00756E1A"/>
    <w:rsid w:val="007602EF"/>
    <w:rsid w:val="0076114E"/>
    <w:rsid w:val="00782B33"/>
    <w:rsid w:val="00787F65"/>
    <w:rsid w:val="007A2EA2"/>
    <w:rsid w:val="007C559C"/>
    <w:rsid w:val="007C5F03"/>
    <w:rsid w:val="007E61DA"/>
    <w:rsid w:val="007F1740"/>
    <w:rsid w:val="007F34E3"/>
    <w:rsid w:val="007F435A"/>
    <w:rsid w:val="008011BA"/>
    <w:rsid w:val="008064EB"/>
    <w:rsid w:val="00806C1A"/>
    <w:rsid w:val="008124CD"/>
    <w:rsid w:val="00824307"/>
    <w:rsid w:val="0084324B"/>
    <w:rsid w:val="00843520"/>
    <w:rsid w:val="00843860"/>
    <w:rsid w:val="00857686"/>
    <w:rsid w:val="0085798C"/>
    <w:rsid w:val="00872395"/>
    <w:rsid w:val="0088101A"/>
    <w:rsid w:val="00885C8B"/>
    <w:rsid w:val="008877FE"/>
    <w:rsid w:val="0089653F"/>
    <w:rsid w:val="0089657B"/>
    <w:rsid w:val="008A1F21"/>
    <w:rsid w:val="008A7B00"/>
    <w:rsid w:val="008D0EE7"/>
    <w:rsid w:val="008D2D5D"/>
    <w:rsid w:val="008E1AB0"/>
    <w:rsid w:val="008F2E77"/>
    <w:rsid w:val="00907783"/>
    <w:rsid w:val="009151E2"/>
    <w:rsid w:val="00922497"/>
    <w:rsid w:val="009261AE"/>
    <w:rsid w:val="00930320"/>
    <w:rsid w:val="00930651"/>
    <w:rsid w:val="00936EAF"/>
    <w:rsid w:val="00944D0D"/>
    <w:rsid w:val="00960206"/>
    <w:rsid w:val="009745E0"/>
    <w:rsid w:val="009857EE"/>
    <w:rsid w:val="009858DF"/>
    <w:rsid w:val="00991602"/>
    <w:rsid w:val="00994BFF"/>
    <w:rsid w:val="009A6B63"/>
    <w:rsid w:val="009B10B2"/>
    <w:rsid w:val="009C6DFB"/>
    <w:rsid w:val="009D61E7"/>
    <w:rsid w:val="009D6425"/>
    <w:rsid w:val="009E6925"/>
    <w:rsid w:val="009F00CF"/>
    <w:rsid w:val="009F16F9"/>
    <w:rsid w:val="009F40DA"/>
    <w:rsid w:val="00A01094"/>
    <w:rsid w:val="00A01DA1"/>
    <w:rsid w:val="00A065AC"/>
    <w:rsid w:val="00A06DCF"/>
    <w:rsid w:val="00A1568F"/>
    <w:rsid w:val="00A22404"/>
    <w:rsid w:val="00A275B1"/>
    <w:rsid w:val="00A321A9"/>
    <w:rsid w:val="00A5275B"/>
    <w:rsid w:val="00A52FDD"/>
    <w:rsid w:val="00A6030F"/>
    <w:rsid w:val="00A60E7A"/>
    <w:rsid w:val="00A63146"/>
    <w:rsid w:val="00A65173"/>
    <w:rsid w:val="00A80357"/>
    <w:rsid w:val="00A82D04"/>
    <w:rsid w:val="00A85FBC"/>
    <w:rsid w:val="00A91A41"/>
    <w:rsid w:val="00AA5BBD"/>
    <w:rsid w:val="00AA5BC2"/>
    <w:rsid w:val="00AA7CC9"/>
    <w:rsid w:val="00AB0488"/>
    <w:rsid w:val="00AB3E94"/>
    <w:rsid w:val="00AD2ED5"/>
    <w:rsid w:val="00AE2B6E"/>
    <w:rsid w:val="00AE6BE3"/>
    <w:rsid w:val="00AF2C49"/>
    <w:rsid w:val="00AF6F23"/>
    <w:rsid w:val="00B05DAC"/>
    <w:rsid w:val="00B061D0"/>
    <w:rsid w:val="00B1438F"/>
    <w:rsid w:val="00B14A3E"/>
    <w:rsid w:val="00B3155C"/>
    <w:rsid w:val="00B34F2B"/>
    <w:rsid w:val="00B34F7B"/>
    <w:rsid w:val="00B421A5"/>
    <w:rsid w:val="00B440F1"/>
    <w:rsid w:val="00B50F47"/>
    <w:rsid w:val="00B60493"/>
    <w:rsid w:val="00B6054F"/>
    <w:rsid w:val="00B65786"/>
    <w:rsid w:val="00B67051"/>
    <w:rsid w:val="00B77134"/>
    <w:rsid w:val="00B91E19"/>
    <w:rsid w:val="00B950A7"/>
    <w:rsid w:val="00B961B6"/>
    <w:rsid w:val="00BA1116"/>
    <w:rsid w:val="00BA2382"/>
    <w:rsid w:val="00BA2F6A"/>
    <w:rsid w:val="00BA6193"/>
    <w:rsid w:val="00BA62E3"/>
    <w:rsid w:val="00BA7375"/>
    <w:rsid w:val="00BA7D0F"/>
    <w:rsid w:val="00BB245A"/>
    <w:rsid w:val="00BB5F13"/>
    <w:rsid w:val="00BB5F15"/>
    <w:rsid w:val="00BB7E41"/>
    <w:rsid w:val="00BC22E1"/>
    <w:rsid w:val="00BC2A5D"/>
    <w:rsid w:val="00BC2B9D"/>
    <w:rsid w:val="00BD1FB2"/>
    <w:rsid w:val="00BD3509"/>
    <w:rsid w:val="00BD3AE5"/>
    <w:rsid w:val="00BD3CCF"/>
    <w:rsid w:val="00BD429A"/>
    <w:rsid w:val="00BE2BB4"/>
    <w:rsid w:val="00BE4336"/>
    <w:rsid w:val="00BE62B2"/>
    <w:rsid w:val="00BE755F"/>
    <w:rsid w:val="00BF536C"/>
    <w:rsid w:val="00BF5CF0"/>
    <w:rsid w:val="00C00652"/>
    <w:rsid w:val="00C0487C"/>
    <w:rsid w:val="00C06556"/>
    <w:rsid w:val="00C17356"/>
    <w:rsid w:val="00C33DCE"/>
    <w:rsid w:val="00C36C81"/>
    <w:rsid w:val="00C44247"/>
    <w:rsid w:val="00C4756D"/>
    <w:rsid w:val="00C4796C"/>
    <w:rsid w:val="00C50E33"/>
    <w:rsid w:val="00C5173C"/>
    <w:rsid w:val="00C525F0"/>
    <w:rsid w:val="00C60174"/>
    <w:rsid w:val="00C729B3"/>
    <w:rsid w:val="00C73746"/>
    <w:rsid w:val="00C76F24"/>
    <w:rsid w:val="00C83A33"/>
    <w:rsid w:val="00C94227"/>
    <w:rsid w:val="00C95C2C"/>
    <w:rsid w:val="00CA09AE"/>
    <w:rsid w:val="00CA0AFF"/>
    <w:rsid w:val="00CA39C7"/>
    <w:rsid w:val="00CB1795"/>
    <w:rsid w:val="00CB249B"/>
    <w:rsid w:val="00CB5E35"/>
    <w:rsid w:val="00CD09CF"/>
    <w:rsid w:val="00CD1BAB"/>
    <w:rsid w:val="00CD7999"/>
    <w:rsid w:val="00CE2A38"/>
    <w:rsid w:val="00CE7821"/>
    <w:rsid w:val="00CF2208"/>
    <w:rsid w:val="00CF2C87"/>
    <w:rsid w:val="00CF6551"/>
    <w:rsid w:val="00D05782"/>
    <w:rsid w:val="00D06589"/>
    <w:rsid w:val="00D136F8"/>
    <w:rsid w:val="00D13D8A"/>
    <w:rsid w:val="00D148EB"/>
    <w:rsid w:val="00D14D85"/>
    <w:rsid w:val="00D220D1"/>
    <w:rsid w:val="00D34EAB"/>
    <w:rsid w:val="00D3639F"/>
    <w:rsid w:val="00D41554"/>
    <w:rsid w:val="00D458B8"/>
    <w:rsid w:val="00D516D3"/>
    <w:rsid w:val="00D54C61"/>
    <w:rsid w:val="00D70DEB"/>
    <w:rsid w:val="00D76E22"/>
    <w:rsid w:val="00D943C0"/>
    <w:rsid w:val="00DA207E"/>
    <w:rsid w:val="00DA6550"/>
    <w:rsid w:val="00DB5061"/>
    <w:rsid w:val="00DB525B"/>
    <w:rsid w:val="00DD724E"/>
    <w:rsid w:val="00DE13C9"/>
    <w:rsid w:val="00DE2B4F"/>
    <w:rsid w:val="00DE44EE"/>
    <w:rsid w:val="00DF3653"/>
    <w:rsid w:val="00E024A6"/>
    <w:rsid w:val="00E14505"/>
    <w:rsid w:val="00E21E93"/>
    <w:rsid w:val="00E35228"/>
    <w:rsid w:val="00E50D03"/>
    <w:rsid w:val="00E52737"/>
    <w:rsid w:val="00E559A1"/>
    <w:rsid w:val="00E57095"/>
    <w:rsid w:val="00E616C3"/>
    <w:rsid w:val="00E63DAB"/>
    <w:rsid w:val="00E64B20"/>
    <w:rsid w:val="00E7154C"/>
    <w:rsid w:val="00E71F33"/>
    <w:rsid w:val="00E7438B"/>
    <w:rsid w:val="00E77E6D"/>
    <w:rsid w:val="00E82496"/>
    <w:rsid w:val="00E845A6"/>
    <w:rsid w:val="00E9185B"/>
    <w:rsid w:val="00E964DF"/>
    <w:rsid w:val="00EA1A16"/>
    <w:rsid w:val="00EA1F55"/>
    <w:rsid w:val="00EB02AD"/>
    <w:rsid w:val="00EC1892"/>
    <w:rsid w:val="00ED4F79"/>
    <w:rsid w:val="00ED66EA"/>
    <w:rsid w:val="00EF5B82"/>
    <w:rsid w:val="00F0139D"/>
    <w:rsid w:val="00F0292E"/>
    <w:rsid w:val="00F05C94"/>
    <w:rsid w:val="00F11DE8"/>
    <w:rsid w:val="00F144EF"/>
    <w:rsid w:val="00F16523"/>
    <w:rsid w:val="00F235C6"/>
    <w:rsid w:val="00F243A1"/>
    <w:rsid w:val="00F273A4"/>
    <w:rsid w:val="00F41B08"/>
    <w:rsid w:val="00F4630B"/>
    <w:rsid w:val="00F544FD"/>
    <w:rsid w:val="00F5698A"/>
    <w:rsid w:val="00F63AEC"/>
    <w:rsid w:val="00F71EA6"/>
    <w:rsid w:val="00F76431"/>
    <w:rsid w:val="00F83B4A"/>
    <w:rsid w:val="00F842CD"/>
    <w:rsid w:val="00F91F42"/>
    <w:rsid w:val="00F9493F"/>
    <w:rsid w:val="00F96540"/>
    <w:rsid w:val="00FA04AC"/>
    <w:rsid w:val="00FA3A78"/>
    <w:rsid w:val="00FA5848"/>
    <w:rsid w:val="00FB02BF"/>
    <w:rsid w:val="00FB6903"/>
    <w:rsid w:val="00FE5A1C"/>
    <w:rsid w:val="00FE779D"/>
    <w:rsid w:val="00FF2E32"/>
    <w:rsid w:val="00FF5820"/>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6781FA1-B6D1-4B8F-ACAC-AC7F65D1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EF"/>
    <w:pPr>
      <w:spacing w:before="120"/>
      <w:jc w:val="both"/>
    </w:pPr>
    <w:rPr>
      <w:rFonts w:ascii="Calibri" w:hAnsi="Calibri"/>
      <w:sz w:val="24"/>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rPr>
  </w:style>
  <w:style w:type="paragraph" w:styleId="Footer">
    <w:name w:val="footer"/>
    <w:basedOn w:val="Normal"/>
    <w:link w:val="FooterChar"/>
    <w:pPr>
      <w:pBdr>
        <w:top w:val="single" w:sz="4" w:space="1" w:color="auto"/>
      </w:pBdr>
      <w:tabs>
        <w:tab w:val="center" w:pos="4320"/>
        <w:tab w:val="right" w:pos="9214"/>
      </w:tabs>
    </w:pPr>
    <w:rPr>
      <w:rFonts w:cs="Arial"/>
      <w:b/>
      <w:noProof/>
    </w:rPr>
  </w:style>
  <w:style w:type="paragraph" w:customStyle="1" w:styleId="Recommendation">
    <w:name w:val="Recommendation"/>
    <w:basedOn w:val="Normal"/>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table" w:styleId="TableGrid">
    <w:name w:val="Table Grid"/>
    <w:basedOn w:val="TableNormal"/>
    <w:rsid w:val="0088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235C6"/>
    <w:rPr>
      <w:rFonts w:ascii="Calibri" w:hAnsi="Calibri" w:cs="Arial"/>
      <w:b/>
      <w:noProof/>
      <w:sz w:val="24"/>
      <w:szCs w:val="24"/>
      <w:lang w:eastAsia="en-US"/>
    </w:rPr>
  </w:style>
  <w:style w:type="paragraph" w:styleId="ListParagraph">
    <w:name w:val="List Paragraph"/>
    <w:basedOn w:val="Normal"/>
    <w:uiPriority w:val="34"/>
    <w:qFormat/>
    <w:rsid w:val="00BA7D0F"/>
    <w:pPr>
      <w:ind w:left="720"/>
      <w:contextualSpacing/>
    </w:pPr>
  </w:style>
  <w:style w:type="paragraph" w:styleId="BalloonText">
    <w:name w:val="Balloon Text"/>
    <w:basedOn w:val="Normal"/>
    <w:link w:val="BalloonTextChar"/>
    <w:semiHidden/>
    <w:unhideWhenUsed/>
    <w:rsid w:val="0021414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141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InfoCouncil_Reports.dot</Template>
  <TotalTime>0</TotalTime>
  <Pages>13</Pages>
  <Words>4211</Words>
  <Characters>24008</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Council - 20 September 2016</vt:lpstr>
    </vt:vector>
  </TitlesOfParts>
  <Company>Orange</Company>
  <LinksUpToDate>false</LinksUpToDate>
  <CharactersWithSpaces>28163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- 20 September 2016</dc:title>
  <dc:subject>Planning Proposal - North Orange Shopping Centre Expansion</dc:subject>
  <dc:creator>Craig Mortell</dc:creator>
  <cp:keywords>Planning Proposal - North Orange Shopping Centre Expansion 2016/1819</cp:keywords>
  <cp:lastModifiedBy>Craig Mortell</cp:lastModifiedBy>
  <cp:revision>2</cp:revision>
  <cp:lastPrinted>2016-09-08T23:30:00Z</cp:lastPrinted>
  <dcterms:created xsi:type="dcterms:W3CDTF">2016-10-21T03:39:00Z</dcterms:created>
  <dcterms:modified xsi:type="dcterms:W3CDTF">2016-10-21T03:39:00Z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0</vt:lpwstr>
  </property>
  <property fmtid="{D5CDD505-2E9C-101B-9397-08002B2CF9AE}" pid="11" name="DoNotCheckIn">
    <vt:lpwstr>0</vt:lpwstr>
  </property>
  <property fmtid="{D5CDD505-2E9C-101B-9397-08002B2CF9AE}" pid="12" name="PreventEDMSFormFromDisplaying">
    <vt:lpwstr>0</vt:lpwstr>
  </property>
  <property fmtid="{D5CDD505-2E9C-101B-9397-08002B2CF9AE}" pid="13" name="UpdateDatabase">
    <vt:lpwstr>0</vt:lpwstr>
  </property>
  <property fmtid="{D5CDD505-2E9C-101B-9397-08002B2CF9AE}" pid="14" name="OrigRecommendationLength">
    <vt:lpwstr>0</vt:lpwstr>
  </property>
  <property fmtid="{D5CDD505-2E9C-101B-9397-08002B2CF9AE}" pid="15" name="ConfidentialType">
    <vt:lpwstr>P</vt:lpwstr>
  </property>
  <property fmtid="{D5CDD505-2E9C-101B-9397-08002B2CF9AE}" pid="16" name="ConfidentialText">
    <vt:lpwstr> </vt:lpwstr>
  </property>
  <property fmtid="{D5CDD505-2E9C-101B-9397-08002B2CF9AE}" pid="17" name="SequenceNumber">
    <vt:lpwstr>5</vt:lpwstr>
  </property>
  <property fmtid="{D5CDD505-2E9C-101B-9397-08002B2CF9AE}" pid="18" name="MasterSequenceNumber">
    <vt:lpwstr>5</vt:lpwstr>
  </property>
  <property fmtid="{D5CDD505-2E9C-101B-9397-08002B2CF9AE}" pid="19" name="FileName">
    <vt:lpwstr>CCL_20092016_SR_845_6.DOCX</vt:lpwstr>
  </property>
  <property fmtid="{D5CDD505-2E9C-101B-9397-08002B2CF9AE}" pid="20" name="ItemNumberMasked">
    <vt:lpwstr>5.5</vt:lpwstr>
  </property>
  <property fmtid="{D5CDD505-2E9C-101B-9397-08002B2CF9AE}" pid="21" name="ItemNumber">
    <vt:lpwstr>5</vt:lpwstr>
  </property>
  <property fmtid="{D5CDD505-2E9C-101B-9397-08002B2CF9AE}" pid="22" name="FileRevisionNotRetained">
    <vt:lpwstr>0</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1</vt:lpwstr>
  </property>
  <property fmtid="{D5CDD505-2E9C-101B-9397-08002B2CF9AE}" pid="26" name="Committee">
    <vt:lpwstr>Council</vt:lpwstr>
  </property>
  <property fmtid="{D5CDD505-2E9C-101B-9397-08002B2CF9AE}" pid="27" name="CommitteeName">
    <vt:lpwstr>Council Meeting</vt:lpwstr>
  </property>
  <property fmtid="{D5CDD505-2E9C-101B-9397-08002B2CF9AE}" pid="28" name="CommitteeAbbreviation">
    <vt:lpwstr>CCL</vt:lpwstr>
  </property>
  <property fmtid="{D5CDD505-2E9C-101B-9397-08002B2CF9AE}" pid="29" name="CommitteeEmailAddress">
    <vt:lpwstr> </vt:lpwstr>
  </property>
  <property fmtid="{D5CDD505-2E9C-101B-9397-08002B2CF9AE}" pid="30" name="CommitteeQuorum">
    <vt:lpwstr>Michelle Catlin</vt:lpwstr>
  </property>
  <property fmtid="{D5CDD505-2E9C-101B-9397-08002B2CF9AE}" pid="31" name="CommitteeReportId">
    <vt:lpwstr>0</vt:lpwstr>
  </property>
  <property fmtid="{D5CDD505-2E9C-101B-9397-08002B2CF9AE}" pid="32" name="DateMeeting">
    <vt:lpwstr>20 September 2016</vt:lpwstr>
  </property>
  <property fmtid="{D5CDD505-2E9C-101B-9397-08002B2CF9AE}" pid="33" name="DateMeetingDisplay">
    <vt:lpwstr>20 September 2016</vt:lpwstr>
  </property>
  <property fmtid="{D5CDD505-2E9C-101B-9397-08002B2CF9AE}" pid="34" name="DateMeetingId">
    <vt:lpwstr>845</vt:lpwstr>
  </property>
  <property fmtid="{D5CDD505-2E9C-101B-9397-08002B2CF9AE}" pid="35" name="SpecialFlag">
    <vt:lpwstr>False</vt:lpwstr>
  </property>
  <property fmtid="{D5CDD505-2E9C-101B-9397-08002B2CF9AE}" pid="36" name="DivisionID">
    <vt:lpwstr>3</vt:lpwstr>
  </property>
  <property fmtid="{D5CDD505-2E9C-101B-9397-08002B2CF9AE}" pid="37" name="DivisionHeadName">
    <vt:lpwstr>David Waddell</vt:lpwstr>
  </property>
  <property fmtid="{D5CDD505-2E9C-101B-9397-08002B2CF9AE}" pid="38" name="DivisionName">
    <vt:lpwstr>Development Services</vt:lpwstr>
  </property>
  <property fmtid="{D5CDD505-2E9C-101B-9397-08002B2CF9AE}" pid="39" name="Date">
    <vt:lpwstr>4/08/2016</vt:lpwstr>
  </property>
  <property fmtid="{D5CDD505-2E9C-101B-9397-08002B2CF9AE}" pid="40" name="DateModified">
    <vt:lpwstr>14/09/2016</vt:lpwstr>
  </property>
  <property fmtid="{D5CDD505-2E9C-101B-9397-08002B2CF9AE}" pid="41" name="AgendaItemAbbreviation">
    <vt:lpwstr>SR</vt:lpwstr>
  </property>
  <property fmtid="{D5CDD505-2E9C-101B-9397-08002B2CF9AE}" pid="42" name="AgendaItemsID">
    <vt:lpwstr>1</vt:lpwstr>
  </property>
  <property fmtid="{D5CDD505-2E9C-101B-9397-08002B2CF9AE}" pid="43" name="AgendaItem">
    <vt:lpwstr>Standard Report</vt:lpwstr>
  </property>
  <property fmtid="{D5CDD505-2E9C-101B-9397-08002B2CF9AE}" pid="44" name="AgendaSectionsID">
    <vt:lpwstr>4</vt:lpwstr>
  </property>
  <property fmtid="{D5CDD505-2E9C-101B-9397-08002B2CF9AE}" pid="45" name="AgendaSection">
    <vt:lpwstr>General Reports</vt:lpwstr>
  </property>
  <property fmtid="{D5CDD505-2E9C-101B-9397-08002B2CF9AE}" pid="46" name="ActualAgendaSectionsId">
    <vt:lpwstr>4</vt:lpwstr>
  </property>
  <property fmtid="{D5CDD505-2E9C-101B-9397-08002B2CF9AE}" pid="47" name="ActualAgendaSection">
    <vt:lpwstr>General Reports</vt:lpwstr>
  </property>
  <property fmtid="{D5CDD505-2E9C-101B-9397-08002B2CF9AE}" pid="48" name="Year">
    <vt:lpwstr>2016</vt:lpwstr>
  </property>
  <property fmtid="{D5CDD505-2E9C-101B-9397-08002B2CF9AE}" pid="49" name="ReassignFileName">
    <vt:lpwstr>False</vt:lpwstr>
  </property>
  <property fmtid="{D5CDD505-2E9C-101B-9397-08002B2CF9AE}" pid="50" name="ItemNumberMaskIdentifier">
    <vt:lpwstr> </vt:lpwstr>
  </property>
  <property fmtid="{D5CDD505-2E9C-101B-9397-08002B2CF9AE}" pid="51" name="Subject">
    <vt:lpwstr>Planning Proposal - North Orange Shopping Centre Expansion</vt:lpwstr>
  </property>
  <property fmtid="{D5CDD505-2E9C-101B-9397-08002B2CF9AE}" pid="52" name="SubjectWithSoftReturns">
    <vt:lpwstr>Planning Proposal - North Orange Shopping Centre Expansion</vt:lpwstr>
  </property>
  <property fmtid="{D5CDD505-2E9C-101B-9397-08002B2CF9AE}" pid="53" name="FileNumber">
    <vt:lpwstr>2016/1819</vt:lpwstr>
  </property>
  <property fmtid="{D5CDD505-2E9C-101B-9397-08002B2CF9AE}" pid="54" name="EDRMSDestinationFolderId">
    <vt:lpwstr> </vt:lpwstr>
  </property>
  <property fmtid="{D5CDD505-2E9C-101B-9397-08002B2CF9AE}" pid="55" name="ReportNumber">
    <vt:lpwstr>5</vt:lpwstr>
  </property>
  <property fmtid="{D5CDD505-2E9C-101B-9397-08002B2CF9AE}" pid="56" name="ReportTo">
    <vt:lpwstr>General Manager</vt:lpwstr>
  </property>
  <property fmtid="{D5CDD505-2E9C-101B-9397-08002B2CF9AE}" pid="57" name="ReportFrom">
    <vt:lpwstr>Director Development Services</vt:lpwstr>
  </property>
  <property fmtid="{D5CDD505-2E9C-101B-9397-08002B2CF9AE}" pid="58" name="Supplementary">
    <vt:lpwstr>0</vt:lpwstr>
  </property>
  <property fmtid="{D5CDD505-2E9C-101B-9397-08002B2CF9AE}" pid="59" name="Title">
    <vt:lpwstr>General Manager - 20 00 2016</vt:lpwstr>
  </property>
  <property fmtid="{D5CDD505-2E9C-101B-9397-08002B2CF9AE}" pid="60" name="EDMSContainerID">
    <vt:lpwstr>F1624</vt:lpwstr>
  </property>
  <property fmtid="{D5CDD505-2E9C-101B-9397-08002B2CF9AE}" pid="61" name="Utility">
    <vt:lpwstr> </vt:lpwstr>
  </property>
  <property fmtid="{D5CDD505-2E9C-101B-9397-08002B2CF9AE}" pid="62" name="UtilityCheckbox">
    <vt:lpwstr>0</vt:lpwstr>
  </property>
  <property fmtid="{D5CDD505-2E9C-101B-9397-08002B2CF9AE}" pid="63" name="UtilityCheckbox2">
    <vt:lpwstr>0</vt:lpwstr>
  </property>
  <property fmtid="{D5CDD505-2E9C-101B-9397-08002B2CF9AE}" pid="64" name="RefCommittee">
    <vt:lpwstr> </vt:lpwstr>
  </property>
  <property fmtid="{D5CDD505-2E9C-101B-9397-08002B2CF9AE}" pid="65" name="RefCommitteeID">
    <vt:lpwstr>0</vt:lpwstr>
  </property>
  <property fmtid="{D5CDD505-2E9C-101B-9397-08002B2CF9AE}" pid="66" name="RefDateMeeting">
    <vt:lpwstr> </vt:lpwstr>
  </property>
  <property fmtid="{D5CDD505-2E9C-101B-9397-08002B2CF9AE}" pid="67" name="RefCommitteeDateID">
    <vt:lpwstr>0</vt:lpwstr>
  </property>
  <property fmtid="{D5CDD505-2E9C-101B-9397-08002B2CF9AE}" pid="68" name="RefSpecialFlag">
    <vt:lpwstr>False</vt:lpwstr>
  </property>
  <property fmtid="{D5CDD505-2E9C-101B-9397-08002B2CF9AE}" pid="69" name="RefCommitteeMinutesDocument">
    <vt:lpwstr> </vt:lpwstr>
  </property>
  <property fmtid="{D5CDD505-2E9C-101B-9397-08002B2CF9AE}" pid="70" name="Purpose">
    <vt:lpwstr> </vt:lpwstr>
  </property>
  <property fmtid="{D5CDD505-2E9C-101B-9397-08002B2CF9AE}" pid="71" name="PurposeWithSoftReturns">
    <vt:lpwstr> </vt:lpwstr>
  </property>
  <property fmtid="{D5CDD505-2E9C-101B-9397-08002B2CF9AE}" pid="72" name="ApproversArray">
    <vt:lpwstr>333þ316þ294þ</vt:lpwstr>
  </property>
  <property fmtid="{D5CDD505-2E9C-101B-9397-08002B2CF9AE}" pid="73" name="Officers">
    <vt:lpwstr>David Waddell; Chris Devitt; Kathy Woolley</vt:lpwstr>
  </property>
  <property fmtid="{D5CDD505-2E9C-101B-9397-08002B2CF9AE}" pid="74" name="OfficersArray">
    <vt:lpwstr>David WaddellýDevelopment ServicesþChris DevittýTechnical ServicesþKathy WoolleyýCorporate and Commercial Servicesþ</vt:lpwstr>
  </property>
  <property fmtid="{D5CDD505-2E9C-101B-9397-08002B2CF9AE}" pid="75" name="CurrentReferencesArray">
    <vt:lpwstr> </vt:lpwstr>
  </property>
  <property fmtid="{D5CDD505-2E9C-101B-9397-08002B2CF9AE}" pid="76" name="MasterProgramId">
    <vt:lpwstr>1</vt:lpwstr>
  </property>
  <property fmtid="{D5CDD505-2E9C-101B-9397-08002B2CF9AE}" pid="77" name="MasterProgramName">
    <vt:lpwstr>2016</vt:lpwstr>
  </property>
  <property fmtid="{D5CDD505-2E9C-101B-9397-08002B2CF9AE}" pid="78" name="MasterProgramItemsArray">
    <vt:lpwstr>1532þ1534þ</vt:lpwstr>
  </property>
  <property fmtid="{D5CDD505-2E9C-101B-9397-08002B2CF9AE}" pid="79" name="PresentationsArray">
    <vt:lpwstr> </vt:lpwstr>
  </property>
  <property fmtid="{D5CDD505-2E9C-101B-9397-08002B2CF9AE}" pid="80" name="OldPresentationsArray">
    <vt:lpwstr> </vt:lpwstr>
  </property>
  <property fmtid="{D5CDD505-2E9C-101B-9397-08002B2CF9AE}" pid="81" name="PresentationsChanged">
    <vt:lpwstr>0</vt:lpwstr>
  </property>
  <property fmtid="{D5CDD505-2E9C-101B-9397-08002B2CF9AE}" pid="82" name="PresentationsRequired">
    <vt:lpwstr>0</vt:lpwstr>
  </property>
  <property fmtid="{D5CDD505-2E9C-101B-9397-08002B2CF9AE}" pid="83" name="PreviousItemsArray">
    <vt:lpwstr> </vt:lpwstr>
  </property>
  <property fmtid="{D5CDD505-2E9C-101B-9397-08002B2CF9AE}" pid="84" name="PreviousItemsChanged">
    <vt:lpwstr>0</vt:lpwstr>
  </property>
  <property fmtid="{D5CDD505-2E9C-101B-9397-08002B2CF9AE}" pid="85" name="OldChairmansCommitteeArray">
    <vt:lpwstr> </vt:lpwstr>
  </property>
  <property fmtid="{D5CDD505-2E9C-101B-9397-08002B2CF9AE}" pid="86" name="ChairmansCommitteeArray">
    <vt:lpwstr> </vt:lpwstr>
  </property>
  <property fmtid="{D5CDD505-2E9C-101B-9397-08002B2CF9AE}" pid="87" name="RequestorsArray">
    <vt:lpwstr> </vt:lpwstr>
  </property>
  <property fmtid="{D5CDD505-2E9C-101B-9397-08002B2CF9AE}" pid="88" name="Requestors">
    <vt:lpwstr> </vt:lpwstr>
  </property>
  <property fmtid="{D5CDD505-2E9C-101B-9397-08002B2CF9AE}" pid="89" name="Requestors2Array">
    <vt:lpwstr> </vt:lpwstr>
  </property>
  <property fmtid="{D5CDD505-2E9C-101B-9397-08002B2CF9AE}" pid="90" name="ReportName">
    <vt:lpwstr>5.5 Planning Proposal - North Orange Shopping Centre Expansion</vt:lpwstr>
  </property>
  <property fmtid="{D5CDD505-2E9C-101B-9397-08002B2CF9AE}" pid="91" name="DAApplicant">
    <vt:lpwstr> </vt:lpwstr>
  </property>
  <property fmtid="{D5CDD505-2E9C-101B-9397-08002B2CF9AE}" pid="92" name="DAOwner">
    <vt:lpwstr> </vt:lpwstr>
  </property>
  <property fmtid="{D5CDD505-2E9C-101B-9397-08002B2CF9AE}" pid="93" name="ForAction">
    <vt:lpwstr>1</vt:lpwstr>
  </property>
  <property fmtid="{D5CDD505-2E9C-101B-9397-08002B2CF9AE}" pid="94" name="ForActionCompletionDate">
    <vt:lpwstr>20 September 2016</vt:lpwstr>
  </property>
  <property fmtid="{D5CDD505-2E9C-101B-9397-08002B2CF9AE}" pid="95" name="MinutedForMayor">
    <vt:lpwstr>0</vt:lpwstr>
  </property>
  <property fmtid="{D5CDD505-2E9C-101B-9397-08002B2CF9AE}" pid="96" name="MinutedForName">
    <vt:lpwstr> </vt:lpwstr>
  </property>
  <property fmtid="{D5CDD505-2E9C-101B-9397-08002B2CF9AE}" pid="97" name="MinutedForTitle">
    <vt:lpwstr> </vt:lpwstr>
  </property>
  <property fmtid="{D5CDD505-2E9C-101B-9397-08002B2CF9AE}" pid="98" name="CouncilId">
    <vt:lpwstr>0</vt:lpwstr>
  </property>
  <property fmtid="{D5CDD505-2E9C-101B-9397-08002B2CF9AE}" pid="99" name="CouncilText">
    <vt:lpwstr> </vt:lpwstr>
  </property>
  <property fmtid="{D5CDD505-2E9C-101B-9397-08002B2CF9AE}" pid="100" name="RelatedReportId">
    <vt:lpwstr>0</vt:lpwstr>
  </property>
  <property fmtid="{D5CDD505-2E9C-101B-9397-08002B2CF9AE}" pid="101" name="DocumentTypeName">
    <vt:lpwstr> </vt:lpwstr>
  </property>
  <property fmtid="{D5CDD505-2E9C-101B-9397-08002B2CF9AE}" pid="102" name="MasterProgramItem1">
    <vt:lpwstr>Objective 1</vt:lpwstr>
  </property>
  <property fmtid="{D5CDD505-2E9C-101B-9397-08002B2CF9AE}" pid="103" name="MasterProgramItem2">
    <vt:lpwstr>1.2 Our City - Information and advice provided for the decision-making process will be succinct, reasoned, accurate, timely and balanced</vt:lpwstr>
  </property>
  <property fmtid="{D5CDD505-2E9C-101B-9397-08002B2CF9AE}" pid="104" name="MasterProgramItemID">
    <vt:lpwstr>1534</vt:lpwstr>
  </property>
  <property fmtid="{D5CDD505-2E9C-101B-9397-08002B2CF9AE}" pid="105" name="Authors">
    <vt:lpwstr>Craig Mortell</vt:lpwstr>
  </property>
  <property fmtid="{D5CDD505-2E9C-101B-9397-08002B2CF9AE}" pid="106" name="AuthorsArray">
    <vt:lpwstr>338þ</vt:lpwstr>
  </property>
  <property fmtid="{D5CDD505-2E9C-101B-9397-08002B2CF9AE}" pid="107" name="AuthorsNameInitials">
    <vt:lpwstr> </vt:lpwstr>
  </property>
  <property fmtid="{D5CDD505-2E9C-101B-9397-08002B2CF9AE}" pid="108" name="AuthorID">
    <vt:lpwstr>338</vt:lpwstr>
  </property>
  <property fmtid="{D5CDD505-2E9C-101B-9397-08002B2CF9AE}" pid="109" name="Author">
    <vt:lpwstr>Craig Mortell</vt:lpwstr>
  </property>
  <property fmtid="{D5CDD505-2E9C-101B-9397-08002B2CF9AE}" pid="110" name="AuthorTitle">
    <vt:lpwstr>Senior Planner</vt:lpwstr>
  </property>
  <property fmtid="{D5CDD505-2E9C-101B-9397-08002B2CF9AE}" pid="111" name="AuthorPhone">
    <vt:lpwstr> </vt:lpwstr>
  </property>
  <property fmtid="{D5CDD505-2E9C-101B-9397-08002B2CF9AE}" pid="112" name="TypistInitials">
    <vt:lpwstr> </vt:lpwstr>
  </property>
  <property fmtid="{D5CDD505-2E9C-101B-9397-08002B2CF9AE}" pid="113" name="AuthorID2">
    <vt:lpwstr> </vt:lpwstr>
  </property>
  <property fmtid="{D5CDD505-2E9C-101B-9397-08002B2CF9AE}" pid="114" name="Author2">
    <vt:lpwstr> </vt:lpwstr>
  </property>
  <property fmtid="{D5CDD505-2E9C-101B-9397-08002B2CF9AE}" pid="115" name="AuthorTitle2">
    <vt:lpwstr> </vt:lpwstr>
  </property>
  <property fmtid="{D5CDD505-2E9C-101B-9397-08002B2CF9AE}" pid="116" name="AuthorID3">
    <vt:lpwstr> </vt:lpwstr>
  </property>
  <property fmtid="{D5CDD505-2E9C-101B-9397-08002B2CF9AE}" pid="117" name="Author3">
    <vt:lpwstr> </vt:lpwstr>
  </property>
  <property fmtid="{D5CDD505-2E9C-101B-9397-08002B2CF9AE}" pid="118" name="AuthorTitle3">
    <vt:lpwstr> </vt:lpwstr>
  </property>
  <property fmtid="{D5CDD505-2E9C-101B-9397-08002B2CF9AE}" pid="119" name="RecommendedMeetingScheduleId">
    <vt:lpwstr>0</vt:lpwstr>
  </property>
  <property fmtid="{D5CDD505-2E9C-101B-9397-08002B2CF9AE}" pid="120" name="RecommendedMeetingDate">
    <vt:lpwstr>30 December 1899</vt:lpwstr>
  </property>
  <property fmtid="{D5CDD505-2E9C-101B-9397-08002B2CF9AE}" pid="121" name="RecommendedCommitteeId">
    <vt:lpwstr>0</vt:lpwstr>
  </property>
  <property fmtid="{D5CDD505-2E9C-101B-9397-08002B2CF9AE}" pid="122" name="RecommendedCommitteeName">
    <vt:lpwstr> </vt:lpwstr>
  </property>
  <property fmtid="{D5CDD505-2E9C-101B-9397-08002B2CF9AE}" pid="123" name="PlanningApplicationDocument">
    <vt:lpwstr> </vt:lpwstr>
  </property>
  <property fmtid="{D5CDD505-2E9C-101B-9397-08002B2CF9AE}" pid="124" name="SummarySection">
    <vt:lpwstr>2</vt:lpwstr>
  </property>
  <property fmtid="{D5CDD505-2E9C-101B-9397-08002B2CF9AE}" pid="125" name="RegisterNumber">
    <vt:lpwstr>6</vt:lpwstr>
  </property>
  <property fmtid="{D5CDD505-2E9C-101B-9397-08002B2CF9AE}" pid="126" name="CorroID">
    <vt:lpwstr>7123</vt:lpwstr>
  </property>
  <property fmtid="{D5CDD505-2E9C-101B-9397-08002B2CF9AE}" pid="127" name="OrigSectionCount">
    <vt:lpwstr>5</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Land Use and Planning - Local Environmental Plans (LEP) 2011 - Amendment 8 - Telopea Way</vt:lpwstr>
  </property>
  <property fmtid="{D5CDD505-2E9C-101B-9397-08002B2CF9AE}" pid="131" name="EDRMSDestinationFolderTitle">
    <vt:lpwstr> </vt:lpwstr>
  </property>
  <property fmtid="{D5CDD505-2E9C-101B-9397-08002B2CF9AE}" pid="132" name="FilePath">
    <vt:lpwstr>\\occapp03\Infocouncil\Checkout\&lt;LOGIN&gt;</vt:lpwstr>
  </property>
  <property fmtid="{D5CDD505-2E9C-101B-9397-08002B2CF9AE}" pid="133" name="Version">
    <vt:lpwstr>01</vt:lpwstr>
  </property>
  <property fmtid="{D5CDD505-2E9C-101B-9397-08002B2CF9AE}" pid="134" name="LastSecurityLogins">
    <vt:lpwstr> </vt:lpwstr>
  </property>
  <property fmtid="{D5CDD505-2E9C-101B-9397-08002B2CF9AE}" pid="135" name="RecordIdAlternate">
    <vt:lpwstr>2016/1819</vt:lpwstr>
  </property>
  <property fmtid="{D5CDD505-2E9C-101B-9397-08002B2CF9AE}" pid="136" name="ClosedStatusChanged">
    <vt:lpwstr>False</vt:lpwstr>
  </property>
  <property fmtid="{D5CDD505-2E9C-101B-9397-08002B2CF9AE}" pid="137" name="AttachmentsArray">
    <vt:lpwstr>Draft Planning Proposalý0ýýýýýFalseýFalseýFalseý0ýD15/4505ý0ýFalseý10903ýFalseýý4/08/2016 5:05:16 PMýýTrueýTrueýTrueýTrueþProponents' Planning Proposal North Orangeý0ýýýýýFalseýFalseýFalseý1ýD15/4507ý0ýFalseý10904ýFalseýý4/08/2016 5:05:16 PMýýTrueýTrueýTr</vt:lpwstr>
  </property>
  <property fmtid="{D5CDD505-2E9C-101B-9397-08002B2CF9AE}" pid="138" name="AttachmentsChanged">
    <vt:lpwstr>0</vt:lpwstr>
  </property>
  <property fmtid="{D5CDD505-2E9C-101B-9397-08002B2CF9AE}" pid="139" name="Approved">
    <vt:lpwstr>False</vt:lpwstr>
  </property>
  <property fmtid="{D5CDD505-2E9C-101B-9397-08002B2CF9AE}" pid="140" name="OrderNumber">
    <vt:lpwstr>6</vt:lpwstr>
  </property>
  <property fmtid="{D5CDD505-2E9C-101B-9397-08002B2CF9AE}" pid="141" name="DeferredFromDate">
    <vt:lpwstr>31/12/1899</vt:lpwstr>
  </property>
  <property fmtid="{D5CDD505-2E9C-101B-9397-08002B2CF9AE}" pid="142" name="ReferredFromCommitteeID">
    <vt:lpwstr>0</vt:lpwstr>
  </property>
  <property fmtid="{D5CDD505-2E9C-101B-9397-08002B2CF9AE}" pid="143" name="DeferredFromSpecialFlag">
    <vt:lpwstr>False</vt:lpwstr>
  </property>
  <property fmtid="{D5CDD505-2E9C-101B-9397-08002B2CF9AE}" pid="144" name="DeferredFromMeetingId">
    <vt:lpwstr>0</vt:lpwstr>
  </property>
  <property fmtid="{D5CDD505-2E9C-101B-9397-08002B2CF9AE}" pid="145" name="AttachmentCount">
    <vt:lpwstr>9</vt:lpwstr>
  </property>
  <property fmtid="{D5CDD505-2E9C-101B-9397-08002B2CF9AE}" pid="146" name="AttachmentPages">
    <vt:lpwstr>0</vt:lpwstr>
  </property>
  <property fmtid="{D5CDD505-2E9C-101B-9397-08002B2CF9AE}" pid="147" name="AttachmentConfidentialFlag">
    <vt:lpwstr>False</vt:lpwstr>
  </property>
</Properties>
</file>